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9B" w:rsidRDefault="00C26F9B" w:rsidP="00C26F9B">
      <w:pPr>
        <w:spacing w:line="420" w:lineRule="exact"/>
        <w:jc w:val="center"/>
        <w:rPr>
          <w:rFonts w:ascii="黑体" w:eastAsia="黑体" w:hAnsi="黑体" w:cs="黑体"/>
          <w:b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b/>
          <w:color w:val="000000" w:themeColor="text1"/>
          <w:sz w:val="36"/>
          <w:szCs w:val="36"/>
        </w:rPr>
        <w:t>审计0257</w:t>
      </w:r>
    </w:p>
    <w:p w:rsidR="00C26F9B" w:rsidRDefault="00C26F9B" w:rsidP="00C26F9B">
      <w:pPr>
        <w:spacing w:line="420" w:lineRule="exact"/>
        <w:jc w:val="center"/>
        <w:rPr>
          <w:rFonts w:ascii="黑体" w:eastAsia="黑体" w:hAnsi="黑体" w:cs="黑体"/>
          <w:b/>
          <w:color w:val="000000" w:themeColor="text1"/>
          <w:sz w:val="36"/>
          <w:szCs w:val="36"/>
        </w:rPr>
      </w:pPr>
    </w:p>
    <w:p w:rsidR="00C26F9B" w:rsidRDefault="00C26F9B" w:rsidP="00C26F9B">
      <w:pPr>
        <w:numPr>
          <w:ilvl w:val="0"/>
          <w:numId w:val="1"/>
        </w:numPr>
        <w:spacing w:line="420" w:lineRule="exact"/>
        <w:ind w:firstLine="551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培养目标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培养适应经济社会发展需要，具备优良的政治素质、职业道德和人文素养，具有宏观视野和战略思维，拥有扎实的专业功底以及良好的发现问题、分析问题与解决问题能力的高级审计专业人才。具体要求如下：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（一）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复合型。培养审计专业能力突出、综合素质全面、适应经济社会复杂性需要、“一专多能”的高级审计专业人才。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（二）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应用型。培养具备扎实专业实践技能、善于理论联系实际、能在实务部门从事高水平审计工作的专业人才。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（三）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信息化。培养适应信息化和大数据环境要求、具备良好数据处理能力和信息系统数据审查能力的IT审计专业人才。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（四）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创新性。培养具有宏观视野和战略思维、善于独立思考、能够创造性地利用相关资源进行审计工作的高级专业人才。</w:t>
      </w:r>
    </w:p>
    <w:p w:rsidR="00C26F9B" w:rsidRDefault="00C26F9B" w:rsidP="00C26F9B">
      <w:pPr>
        <w:spacing w:line="420" w:lineRule="exact"/>
        <w:ind w:firstLine="570"/>
        <w:rPr>
          <w:rFonts w:ascii="宋体" w:hAnsi="宋体" w:cs="宋体"/>
          <w:b/>
          <w:color w:val="000000" w:themeColor="text1"/>
          <w:sz w:val="24"/>
          <w:szCs w:val="24"/>
        </w:rPr>
      </w:pPr>
    </w:p>
    <w:p w:rsidR="00C26F9B" w:rsidRDefault="00C26F9B" w:rsidP="00C26F9B">
      <w:pPr>
        <w:spacing w:line="420" w:lineRule="exact"/>
        <w:ind w:firstLine="570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二、基本素养与职业能力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（一）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政治素质。热爱祖国，遵守国家法律法规和社会公德，维护国家的安全、利益和荣誉，树立社会主义核心价值观，具有强烈的社会责任感。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（二）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学术道德。加强学术自律，遵守学术规范，恪守学术诚信，尊重科学规律和他人成果与权益，杜绝剽窃、抄袭、篡改、伪造等违反学术道德与学术规范的行为。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（三）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专业素养。系统掌握现代审计理论和技能及相关领域的知识，具有国际化视野、必备的科学素养和一定的实践创新能力，能够适应不同审计环境，能够熟练运用审计工具和方法形成恰当的职业判断，解决审计实际问题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（四）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职业精神。拥有崇高的职业理想，积极进取、客观正直、善于合作、勤奋敬业，保持良好的职业作风，遵守审计职业道德和职业纪律，勇于承担责任。</w:t>
      </w:r>
    </w:p>
    <w:p w:rsidR="00C26F9B" w:rsidRDefault="00C26F9B" w:rsidP="00C26F9B">
      <w:pPr>
        <w:spacing w:line="420" w:lineRule="exact"/>
        <w:ind w:firstLine="570"/>
        <w:rPr>
          <w:rFonts w:ascii="宋体" w:hAnsi="宋体" w:cs="宋体"/>
          <w:b/>
          <w:color w:val="000000" w:themeColor="text1"/>
          <w:sz w:val="24"/>
          <w:szCs w:val="24"/>
        </w:rPr>
      </w:pPr>
    </w:p>
    <w:p w:rsidR="00C26F9B" w:rsidRDefault="00C26F9B" w:rsidP="00C26F9B">
      <w:pPr>
        <w:spacing w:line="420" w:lineRule="exact"/>
        <w:ind w:firstLine="570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三、研究方向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（一）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政府审计与公共治理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（二）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内部审计与管理咨询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（三）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注册会计师审计与信息披露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（四）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信息系统审计</w:t>
      </w:r>
    </w:p>
    <w:p w:rsidR="00C26F9B" w:rsidRDefault="00C26F9B" w:rsidP="00C26F9B">
      <w:pPr>
        <w:spacing w:line="420" w:lineRule="exact"/>
        <w:ind w:firstLine="570"/>
        <w:rPr>
          <w:rFonts w:ascii="宋体" w:hAnsi="宋体" w:cs="宋体"/>
          <w:b/>
          <w:color w:val="000000" w:themeColor="text1"/>
          <w:sz w:val="24"/>
          <w:szCs w:val="24"/>
        </w:rPr>
      </w:pPr>
    </w:p>
    <w:p w:rsidR="00C26F9B" w:rsidRDefault="00C26F9B" w:rsidP="00C26F9B">
      <w:pPr>
        <w:spacing w:line="420" w:lineRule="exact"/>
        <w:ind w:firstLine="570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lastRenderedPageBreak/>
        <w:t>四、学习年限</w:t>
      </w:r>
    </w:p>
    <w:p w:rsidR="00C26F9B" w:rsidRDefault="00C26F9B" w:rsidP="00C26F9B">
      <w:pPr>
        <w:spacing w:line="420" w:lineRule="exact"/>
        <w:ind w:firstLineChars="200" w:firstLine="480"/>
        <w:textAlignment w:val="baseline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学制</w:t>
      </w:r>
      <w:r>
        <w:rPr>
          <w:rFonts w:ascii="宋体" w:hAnsi="宋体" w:cs="宋体"/>
          <w:color w:val="000000" w:themeColor="text1"/>
          <w:sz w:val="24"/>
          <w:szCs w:val="24"/>
        </w:rPr>
        <w:t>2年，最长学习年限4年（含休学和保留学籍）。对提前完成规定学业、成绩特别优秀的研究生，可按《广东财经大学硕士研究生提前毕业暂行规定》申请提前毕业。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</w:p>
    <w:p w:rsidR="00C26F9B" w:rsidRDefault="00C26F9B" w:rsidP="00C26F9B">
      <w:pPr>
        <w:numPr>
          <w:ilvl w:val="0"/>
          <w:numId w:val="2"/>
        </w:numPr>
        <w:spacing w:line="420" w:lineRule="exact"/>
        <w:ind w:firstLine="570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培养方式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根据审计硕士（</w:t>
      </w:r>
      <w:proofErr w:type="spellStart"/>
      <w:r>
        <w:rPr>
          <w:rFonts w:ascii="宋体" w:hAnsi="宋体" w:cs="宋体" w:hint="eastAsia"/>
          <w:color w:val="000000" w:themeColor="text1"/>
          <w:sz w:val="24"/>
          <w:szCs w:val="24"/>
        </w:rPr>
        <w:t>MAud</w:t>
      </w:r>
      <w:proofErr w:type="spellEnd"/>
      <w:r>
        <w:rPr>
          <w:rFonts w:ascii="宋体" w:hAnsi="宋体" w:cs="宋体" w:hint="eastAsia"/>
          <w:color w:val="000000" w:themeColor="text1"/>
          <w:sz w:val="24"/>
          <w:szCs w:val="24"/>
        </w:rPr>
        <w:t>）的培养目标和专业特点，结合全日制学生学习情况，重视和加强思想政治素质和职业道德的培养。在培养方案和培养方式制定中，强调专业教育与协同创新培养相结合、专业教育与职业资格认证相结合、面上招生与订单式培养相结合、课堂讲授与其他教学方式相结合、本土化与国际化相结合的基础上，突出以下几方面的要求：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（一）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实行弹性学制。一般要求学生在2-4年时间内完成课程学习、论文撰写及答辩任务。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（二）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突出校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企（行业）协同育人。注重产学结合，构建与企业长期合作的有效机制，积极引导企业参与培养全过程。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（三）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采取多样化的教学方式。在教学过程中采用案例教学、课堂讨论、专题研究等方式，注重培养学生分析和解决问题的能力。开辟第二课堂，采取专家讲座、专题研讨等形式，聘请实务部门和政策制定部门有经验的专家承担部分课程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（四）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实行双导师制。核心专业课程的授课，在校内导师讲授的基础上，部分专题聘请校外导师</w:t>
      </w:r>
      <w:proofErr w:type="gramStart"/>
      <w:r>
        <w:rPr>
          <w:rFonts w:ascii="宋体" w:hAnsi="宋体" w:cs="宋体" w:hint="eastAsia"/>
          <w:color w:val="000000" w:themeColor="text1"/>
          <w:sz w:val="24"/>
          <w:szCs w:val="24"/>
        </w:rPr>
        <w:t>做案</w:t>
      </w:r>
      <w:proofErr w:type="gramEnd"/>
      <w:r>
        <w:rPr>
          <w:rFonts w:ascii="宋体" w:hAnsi="宋体" w:cs="宋体" w:hint="eastAsia"/>
          <w:color w:val="000000" w:themeColor="text1"/>
          <w:sz w:val="24"/>
          <w:szCs w:val="24"/>
        </w:rPr>
        <w:t>例讲解；专业实践实习和论文撰写工作，由校内导师和校外导师协同完成。</w:t>
      </w:r>
    </w:p>
    <w:p w:rsidR="00C26F9B" w:rsidRDefault="00C26F9B" w:rsidP="00C26F9B">
      <w:pPr>
        <w:spacing w:line="420" w:lineRule="exact"/>
        <w:ind w:firstLine="570"/>
        <w:rPr>
          <w:rFonts w:ascii="宋体" w:hAnsi="宋体" w:cs="宋体"/>
          <w:b/>
          <w:color w:val="000000" w:themeColor="text1"/>
          <w:sz w:val="24"/>
          <w:szCs w:val="24"/>
        </w:rPr>
      </w:pPr>
    </w:p>
    <w:p w:rsidR="00C26F9B" w:rsidRDefault="00C26F9B" w:rsidP="00C26F9B">
      <w:pPr>
        <w:spacing w:line="420" w:lineRule="exact"/>
        <w:ind w:firstLine="570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六、课程设置及要求</w:t>
      </w:r>
    </w:p>
    <w:p w:rsidR="00C26F9B" w:rsidRDefault="00C26F9B" w:rsidP="00C26F9B">
      <w:pPr>
        <w:widowControl/>
        <w:spacing w:line="420" w:lineRule="exact"/>
        <w:ind w:firstLineChars="196" w:firstLine="470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研究生课程分学位类和非学位类两种，本专业公共学位课、专业学位课为学位类课程，</w:t>
      </w:r>
      <w:r>
        <w:rPr>
          <w:rFonts w:ascii="宋体" w:hAnsi="宋体" w:hint="eastAsia"/>
          <w:color w:val="000000" w:themeColor="text1"/>
          <w:sz w:val="24"/>
        </w:rPr>
        <w:t>专业选修课为非学位类课程，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18个学时计1学分。</w:t>
      </w:r>
    </w:p>
    <w:p w:rsidR="00C26F9B" w:rsidRDefault="00C26F9B" w:rsidP="00C26F9B">
      <w:pPr>
        <w:spacing w:line="420" w:lineRule="exact"/>
        <w:ind w:firstLine="570"/>
        <w:rPr>
          <w:rFonts w:ascii="宋体" w:hAnsi="宋体" w:cs="宋体"/>
          <w:b/>
          <w:color w:val="000000" w:themeColor="text1"/>
          <w:sz w:val="24"/>
          <w:szCs w:val="24"/>
        </w:rPr>
      </w:pPr>
    </w:p>
    <w:p w:rsidR="00C26F9B" w:rsidRDefault="00C26F9B" w:rsidP="00C26F9B">
      <w:pPr>
        <w:spacing w:line="420" w:lineRule="exact"/>
        <w:ind w:firstLine="570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七、专业实践要求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专业实践环节是必修环节，包括讲座论坛、企业调研、企业实习等三个部分，共6个学分。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（一）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讲座论坛：以讲座、辩论、专题报告等形式，邀请国内外知名专家、学者、政府官员及专业人士开展专题讲座，积极参与会计学院举办的学术论坛。要求审计专业硕士研究生必须参加8次以上符合要求的论坛或讲座，合格者获得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相应学分。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（二）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企业调研：学生在导师指导下，利用课余或寒暑假时间进行企业调研实习（必须以实地调研为主），鼓励企业调研与毕业论文或实习相结合。学生完成调研后应提交调研报告。第三学期提交调研报告，合格者获得相应学分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（三）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企业实习：第二学期或者第三学期开始，全日制学生应进入广东财经大学签约实习基地或其他实践场所，进行不少于6个月的实践训练，并撰写不少于3000字的实践报告，合格者获得相应学分。</w:t>
      </w:r>
    </w:p>
    <w:p w:rsidR="00C26F9B" w:rsidRDefault="00C26F9B" w:rsidP="00C26F9B">
      <w:pPr>
        <w:spacing w:line="420" w:lineRule="exact"/>
        <w:ind w:firstLine="570"/>
        <w:rPr>
          <w:rFonts w:ascii="宋体" w:hAnsi="宋体" w:cs="宋体"/>
          <w:b/>
          <w:color w:val="000000" w:themeColor="text1"/>
          <w:sz w:val="24"/>
          <w:szCs w:val="24"/>
        </w:rPr>
      </w:pPr>
    </w:p>
    <w:p w:rsidR="00C26F9B" w:rsidRDefault="00C26F9B" w:rsidP="00C26F9B">
      <w:pPr>
        <w:spacing w:line="420" w:lineRule="exact"/>
        <w:ind w:firstLine="570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八、其它培养环节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其它培养环节包括文献阅读、仿真实训、职业资格训练、案例开发等培养环节。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文献阅读：要求在导师的指导下完成经典文献的阅读，并撰写相应的读书笔记，并由指导教师负责其考核。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仿真实习（ERP）：利用全国第一批经管类实验教学示范中心---广东财经大学经济与管理实验教学中心的企业运作仿真综合实习，对处于复杂市场环境下的企业经营进行大规模的仿真运作，开发和培养学生从事经济管理的战略思维、综合决策能力和综合执行能力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职业资格考试：要求学生在读期间能参与一到两项职业资格考试，考试项目包括注册会计师资格考试等，并根据所取得的成绩对学生进行考核。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案例开发：在学期间必须参与案例研究与开发活动。案例开发可与校内外各项案例比赛及课题申报相结合，鼓励学生开展合作研究。中期考核前应完成不少于8000字以上的案例设计分析作品，鼓励案例设计分析作品与毕业论文相结合，并纳入中期考核环节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素质拓展：在学期间至少参加一次素质拓展活动。通过素质拓展活动，培养学生的团结协作能力、沟通协调能力和顽强拼搏精神。</w:t>
      </w:r>
    </w:p>
    <w:p w:rsidR="00C26F9B" w:rsidRDefault="00C26F9B" w:rsidP="00C26F9B">
      <w:pPr>
        <w:spacing w:line="420" w:lineRule="exact"/>
        <w:ind w:firstLine="570"/>
        <w:rPr>
          <w:rFonts w:ascii="宋体" w:hAnsi="宋体" w:cs="宋体"/>
          <w:b/>
          <w:color w:val="000000" w:themeColor="text1"/>
          <w:sz w:val="24"/>
          <w:szCs w:val="24"/>
        </w:rPr>
      </w:pPr>
    </w:p>
    <w:p w:rsidR="00C26F9B" w:rsidRDefault="00C26F9B" w:rsidP="00C26F9B">
      <w:pPr>
        <w:spacing w:line="420" w:lineRule="exact"/>
        <w:ind w:firstLine="570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九、考核方式及要求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学位类课程考核方式为：笔试（以下均含闭卷、开卷）、笔试结合课程论文、笔试结合口试、笔试结合实验设计等；非学位类课程考核方式为：笔试、口试、课程论文、课程论文结合实验设计、实验设计等形式，具体方式由任课教师确定。经考核合格，学位类课程达到70分以上可获得学分，其他类课程达到60分以上可获得学分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跨专业及同等学力考取的硕士生应补修 2 门本科主干课程并列入个人培养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计划，具体是 《财务会计》、《审计》，补修方式按学院规定。补修课程采取闭卷考试，达到60分为合格，不记学分，应补修而未补修或者补修成绩不合格者不能进入学位论文撰写阶段。</w:t>
      </w:r>
    </w:p>
    <w:p w:rsidR="00C26F9B" w:rsidRDefault="00C26F9B" w:rsidP="00C26F9B">
      <w:pPr>
        <w:spacing w:line="420" w:lineRule="exact"/>
        <w:rPr>
          <w:rFonts w:ascii="宋体" w:hAnsi="宋体" w:cs="宋体"/>
          <w:b/>
          <w:color w:val="000000" w:themeColor="text1"/>
          <w:sz w:val="24"/>
          <w:szCs w:val="24"/>
        </w:rPr>
      </w:pPr>
    </w:p>
    <w:p w:rsidR="00C26F9B" w:rsidRDefault="00C26F9B" w:rsidP="00C26F9B">
      <w:pPr>
        <w:numPr>
          <w:ilvl w:val="0"/>
          <w:numId w:val="3"/>
        </w:numPr>
        <w:spacing w:line="420" w:lineRule="exact"/>
        <w:ind w:firstLine="570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毕业学分及要求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毕业要求总学分应修满 40学分，其中课程34学分，实践调研6学分。研究生修满学分，中期考核合格，完成必修环节，完成毕业论文并通过毕业答辩，方可毕业。</w:t>
      </w:r>
    </w:p>
    <w:p w:rsidR="00C26F9B" w:rsidRDefault="00C26F9B" w:rsidP="00C26F9B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</w:p>
    <w:p w:rsidR="00C26F9B" w:rsidRDefault="00C26F9B" w:rsidP="00C26F9B">
      <w:pPr>
        <w:numPr>
          <w:ilvl w:val="0"/>
          <w:numId w:val="3"/>
        </w:numPr>
        <w:spacing w:line="420" w:lineRule="exact"/>
        <w:ind w:firstLine="570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学位论文及学位授予</w:t>
      </w:r>
    </w:p>
    <w:p w:rsidR="00C26F9B" w:rsidRDefault="00C26F9B" w:rsidP="00C26F9B">
      <w:pPr>
        <w:spacing w:line="420" w:lineRule="exact"/>
        <w:ind w:firstLineChars="196" w:firstLine="47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硕士学位论文的规范性要求、质量要求见《广东财经大学一级学科硕士学位授予标准》、《广东财经大学专业学位授予标准》和《广东财经大学硕士学位论文写作规范》等文件，学位论文与学位授予工作按学校《广东财经大学学位授予规定》、《广东财经大学学术学位硕士论文工作细则》和《广东财经大学专业学位硕士论文工作细则》等相关规定执行。</w:t>
      </w:r>
    </w:p>
    <w:p w:rsidR="00C26F9B" w:rsidRDefault="00C26F9B" w:rsidP="00C26F9B">
      <w:pPr>
        <w:spacing w:line="420" w:lineRule="exact"/>
        <w:rPr>
          <w:rFonts w:ascii="宋体" w:hAnsi="宋体"/>
          <w:color w:val="000000" w:themeColor="text1"/>
          <w:sz w:val="24"/>
        </w:rPr>
      </w:pPr>
    </w:p>
    <w:p w:rsidR="00C26F9B" w:rsidRDefault="00C26F9B" w:rsidP="00C26F9B">
      <w:pPr>
        <w:numPr>
          <w:ilvl w:val="0"/>
          <w:numId w:val="3"/>
        </w:numPr>
        <w:spacing w:line="420" w:lineRule="exact"/>
        <w:ind w:firstLine="570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教学设置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"/>
        <w:gridCol w:w="1056"/>
        <w:gridCol w:w="1995"/>
        <w:gridCol w:w="765"/>
        <w:gridCol w:w="756"/>
        <w:gridCol w:w="1152"/>
        <w:gridCol w:w="1200"/>
        <w:gridCol w:w="1258"/>
      </w:tblGrid>
      <w:tr w:rsidR="00C26F9B" w:rsidTr="00DA41EF">
        <w:trPr>
          <w:trHeight w:hRule="exact" w:val="567"/>
          <w:jc w:val="center"/>
        </w:trPr>
        <w:tc>
          <w:tcPr>
            <w:tcW w:w="748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类别</w:t>
            </w: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课程</w:t>
            </w: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编号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学时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学分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开课学期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任课教师</w:t>
            </w: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开课单位</w:t>
            </w:r>
          </w:p>
        </w:tc>
      </w:tr>
      <w:tr w:rsidR="00C26F9B" w:rsidTr="00DA41EF">
        <w:trPr>
          <w:trHeight w:hRule="exact" w:val="567"/>
          <w:tblHeader/>
          <w:jc w:val="center"/>
        </w:trPr>
        <w:tc>
          <w:tcPr>
            <w:tcW w:w="748" w:type="dxa"/>
            <w:vMerge w:val="restart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公共</w:t>
            </w: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学位课</w:t>
            </w: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Z3203001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专业英语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课程组</w:t>
            </w: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C26F9B" w:rsidTr="00DA41EF">
        <w:trPr>
          <w:trHeight w:hRule="exact" w:val="567"/>
          <w:tblHeader/>
          <w:jc w:val="center"/>
        </w:trPr>
        <w:tc>
          <w:tcPr>
            <w:tcW w:w="748" w:type="dxa"/>
            <w:vMerge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Z2203001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中国特色社会主义理论与实践研究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课程组</w:t>
            </w: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马克思</w:t>
            </w: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主义学院</w:t>
            </w:r>
          </w:p>
        </w:tc>
      </w:tr>
      <w:tr w:rsidR="00C26F9B" w:rsidTr="00DA41EF">
        <w:trPr>
          <w:trHeight w:hRule="exact" w:val="847"/>
          <w:tblHeader/>
          <w:jc w:val="center"/>
        </w:trPr>
        <w:tc>
          <w:tcPr>
            <w:tcW w:w="748" w:type="dxa"/>
            <w:vMerge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Z3203003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管理经济学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严维石</w:t>
            </w:r>
          </w:p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赵  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卓</w:t>
            </w:r>
            <w:proofErr w:type="gramEnd"/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王方方</w:t>
            </w: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C26F9B" w:rsidTr="00DA41EF">
        <w:trPr>
          <w:trHeight w:hRule="exact" w:val="881"/>
          <w:jc w:val="center"/>
        </w:trPr>
        <w:tc>
          <w:tcPr>
            <w:tcW w:w="748" w:type="dxa"/>
            <w:vMerge w:val="restart"/>
            <w:vAlign w:val="center"/>
          </w:tcPr>
          <w:p w:rsidR="00C26F9B" w:rsidRDefault="00C26F9B" w:rsidP="00DA41EF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专业</w:t>
            </w:r>
          </w:p>
          <w:p w:rsidR="00C26F9B" w:rsidRDefault="00C26F9B" w:rsidP="00DA41EF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学位课</w:t>
            </w: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Z3203004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高级财务会计理论与实务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孔令辉</w:t>
            </w: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郭剑花</w:t>
            </w: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李淑珍</w:t>
            </w: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C26F9B" w:rsidTr="00DA41EF">
        <w:trPr>
          <w:trHeight w:hRule="exact" w:val="567"/>
          <w:jc w:val="center"/>
        </w:trPr>
        <w:tc>
          <w:tcPr>
            <w:tcW w:w="748" w:type="dxa"/>
            <w:vMerge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Z3203008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公司治理理论与实务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陈建林</w:t>
            </w: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杨志强</w:t>
            </w: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C26F9B" w:rsidTr="00DA41EF">
        <w:trPr>
          <w:trHeight w:hRule="exact" w:val="567"/>
          <w:jc w:val="center"/>
        </w:trPr>
        <w:tc>
          <w:tcPr>
            <w:tcW w:w="748" w:type="dxa"/>
            <w:vMerge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Z3202008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内部控制理论与实务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赵兴楣</w:t>
            </w: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况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玉书</w:t>
            </w: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C26F9B" w:rsidTr="00DA41EF">
        <w:trPr>
          <w:trHeight w:hRule="exact" w:val="767"/>
          <w:jc w:val="center"/>
        </w:trPr>
        <w:tc>
          <w:tcPr>
            <w:tcW w:w="748" w:type="dxa"/>
            <w:vMerge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Z3203007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高级审计理论与实务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刘国常</w:t>
            </w:r>
          </w:p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邢风云</w:t>
            </w: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曹丽梅</w:t>
            </w: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C26F9B" w:rsidTr="00DA41EF">
        <w:trPr>
          <w:trHeight w:hRule="exact" w:val="567"/>
          <w:jc w:val="center"/>
        </w:trPr>
        <w:tc>
          <w:tcPr>
            <w:tcW w:w="748" w:type="dxa"/>
            <w:vMerge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Z3203009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审计法律研究与案例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赵国宇</w:t>
            </w: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C26F9B" w:rsidTr="00DA41EF">
        <w:trPr>
          <w:trHeight w:hRule="exact" w:val="567"/>
          <w:jc w:val="center"/>
        </w:trPr>
        <w:tc>
          <w:tcPr>
            <w:tcW w:w="748" w:type="dxa"/>
            <w:vMerge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Z3203010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公共管理理论</w:t>
            </w: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与实务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易雯</w:t>
            </w: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szCs w:val="21"/>
              </w:rPr>
              <w:t>张舜禹</w:t>
            </w: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C26F9B" w:rsidTr="00DA41EF">
        <w:trPr>
          <w:trHeight w:hRule="exact" w:val="567"/>
          <w:jc w:val="center"/>
        </w:trPr>
        <w:tc>
          <w:tcPr>
            <w:tcW w:w="748" w:type="dxa"/>
            <w:vMerge w:val="restart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专业</w:t>
            </w: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选修课</w:t>
            </w: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Z3202016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战略管理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杨  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菁</w:t>
            </w:r>
            <w:proofErr w:type="gramEnd"/>
          </w:p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崔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婷</w:t>
            </w:r>
            <w:proofErr w:type="gramEnd"/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C26F9B" w:rsidTr="00DA41EF">
        <w:trPr>
          <w:trHeight w:hRule="exact" w:val="567"/>
          <w:jc w:val="center"/>
        </w:trPr>
        <w:tc>
          <w:tcPr>
            <w:tcW w:w="748" w:type="dxa"/>
            <w:vMerge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Z3202021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公共预算与</w:t>
            </w: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政府会计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刘  俊</w:t>
            </w:r>
          </w:p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阳  雪</w:t>
            </w: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C26F9B" w:rsidTr="00DA41EF">
        <w:trPr>
          <w:trHeight w:hRule="exact" w:val="567"/>
          <w:jc w:val="center"/>
        </w:trPr>
        <w:tc>
          <w:tcPr>
            <w:tcW w:w="748" w:type="dxa"/>
            <w:vMerge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Z3202002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财务报告分析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苏武俊</w:t>
            </w:r>
          </w:p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庄学敏</w:t>
            </w:r>
            <w:proofErr w:type="gramEnd"/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C26F9B" w:rsidTr="00DA41EF">
        <w:trPr>
          <w:trHeight w:hRule="exact" w:val="567"/>
          <w:jc w:val="center"/>
        </w:trPr>
        <w:tc>
          <w:tcPr>
            <w:tcW w:w="748" w:type="dxa"/>
            <w:vMerge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Z3202022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会计与管理</w:t>
            </w: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信息系统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刘良惠</w:t>
            </w:r>
          </w:p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C26F9B" w:rsidTr="00DA41EF">
        <w:trPr>
          <w:trHeight w:hRule="exact" w:val="567"/>
          <w:jc w:val="center"/>
        </w:trPr>
        <w:tc>
          <w:tcPr>
            <w:tcW w:w="748" w:type="dxa"/>
            <w:vMerge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Z3202003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企业税收筹划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孙燕东</w:t>
            </w:r>
          </w:p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欧阳春花</w:t>
            </w:r>
          </w:p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C26F9B" w:rsidTr="00DA41EF">
        <w:trPr>
          <w:trHeight w:hRule="exact" w:val="567"/>
          <w:jc w:val="center"/>
        </w:trPr>
        <w:tc>
          <w:tcPr>
            <w:tcW w:w="748" w:type="dxa"/>
            <w:vMerge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Z3202023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政府审计理论</w:t>
            </w: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与实务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李荣生</w:t>
            </w:r>
          </w:p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C26F9B" w:rsidTr="00DA41EF">
        <w:trPr>
          <w:trHeight w:hRule="exact" w:val="567"/>
          <w:jc w:val="center"/>
        </w:trPr>
        <w:tc>
          <w:tcPr>
            <w:tcW w:w="748" w:type="dxa"/>
            <w:vMerge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Z3202024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内部审计理论与实务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宾瑜</w:t>
            </w:r>
          </w:p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C26F9B" w:rsidTr="00DA41EF">
        <w:trPr>
          <w:trHeight w:hRule="exact" w:val="567"/>
          <w:jc w:val="center"/>
        </w:trPr>
        <w:tc>
          <w:tcPr>
            <w:tcW w:w="748" w:type="dxa"/>
            <w:vMerge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Z3202025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注册会计师审计</w:t>
            </w: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理论与实务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李丽青</w:t>
            </w:r>
          </w:p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C26F9B" w:rsidTr="00DA41EF">
        <w:trPr>
          <w:trHeight w:hRule="exact" w:val="567"/>
          <w:jc w:val="center"/>
        </w:trPr>
        <w:tc>
          <w:tcPr>
            <w:tcW w:w="748" w:type="dxa"/>
            <w:vMerge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Z3202009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管理审计与</w:t>
            </w: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管理咨询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雷  宇</w:t>
            </w:r>
          </w:p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张建平</w:t>
            </w: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C26F9B" w:rsidTr="00DA41EF">
        <w:trPr>
          <w:trHeight w:hRule="exact" w:val="567"/>
          <w:jc w:val="center"/>
        </w:trPr>
        <w:tc>
          <w:tcPr>
            <w:tcW w:w="748" w:type="dxa"/>
            <w:vMerge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Z3202026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大数据分析与</w:t>
            </w: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数据挖掘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孔荫莹</w:t>
            </w:r>
            <w:proofErr w:type="gramEnd"/>
          </w:p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C26F9B" w:rsidTr="00DA41EF">
        <w:trPr>
          <w:trHeight w:hRule="exact" w:val="567"/>
          <w:jc w:val="center"/>
        </w:trPr>
        <w:tc>
          <w:tcPr>
            <w:tcW w:w="748" w:type="dxa"/>
            <w:vMerge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Z3202027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财政金融理论与</w:t>
            </w: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政策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C26F9B" w:rsidTr="00DA41EF">
        <w:trPr>
          <w:trHeight w:hRule="exact" w:val="567"/>
          <w:jc w:val="center"/>
        </w:trPr>
        <w:tc>
          <w:tcPr>
            <w:tcW w:w="748" w:type="dxa"/>
            <w:vMerge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Z3202028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IT审计技术与方法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叶文晖</w:t>
            </w:r>
          </w:p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C26F9B" w:rsidTr="00DA41EF">
        <w:trPr>
          <w:trHeight w:hRule="exact" w:val="567"/>
          <w:jc w:val="center"/>
        </w:trPr>
        <w:tc>
          <w:tcPr>
            <w:tcW w:w="748" w:type="dxa"/>
            <w:vMerge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Z3202029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公共政策分析与</w:t>
            </w:r>
          </w:p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评价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C26F9B" w:rsidTr="00DA41EF">
        <w:trPr>
          <w:trHeight w:hRule="exact" w:val="991"/>
          <w:jc w:val="center"/>
        </w:trPr>
        <w:tc>
          <w:tcPr>
            <w:tcW w:w="748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其它培养环节</w:t>
            </w:r>
          </w:p>
        </w:tc>
        <w:tc>
          <w:tcPr>
            <w:tcW w:w="1056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Z3207001</w:t>
            </w:r>
          </w:p>
        </w:tc>
        <w:tc>
          <w:tcPr>
            <w:tcW w:w="199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实践调研</w:t>
            </w:r>
          </w:p>
        </w:tc>
        <w:tc>
          <w:tcPr>
            <w:tcW w:w="765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108</w:t>
            </w:r>
          </w:p>
        </w:tc>
        <w:tc>
          <w:tcPr>
            <w:tcW w:w="756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52" w:type="dxa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C26F9B" w:rsidTr="00DA41EF">
        <w:trPr>
          <w:trHeight w:hRule="exact" w:val="567"/>
          <w:jc w:val="center"/>
        </w:trPr>
        <w:tc>
          <w:tcPr>
            <w:tcW w:w="3799" w:type="dxa"/>
            <w:gridSpan w:val="3"/>
            <w:vAlign w:val="center"/>
          </w:tcPr>
          <w:p w:rsidR="00C26F9B" w:rsidRDefault="00C26F9B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总学分</w:t>
            </w:r>
          </w:p>
        </w:tc>
        <w:tc>
          <w:tcPr>
            <w:tcW w:w="5131" w:type="dxa"/>
            <w:gridSpan w:val="5"/>
            <w:vAlign w:val="center"/>
          </w:tcPr>
          <w:p w:rsidR="00C26F9B" w:rsidRDefault="00C26F9B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40学分</w:t>
            </w:r>
          </w:p>
        </w:tc>
      </w:tr>
    </w:tbl>
    <w:p w:rsidR="00C26F9B" w:rsidRDefault="00C26F9B" w:rsidP="00C26F9B">
      <w:pPr>
        <w:spacing w:line="420" w:lineRule="exact"/>
        <w:ind w:firstLineChars="200" w:firstLine="422"/>
        <w:rPr>
          <w:rFonts w:ascii="宋体" w:hAnsi="宋体" w:cs="宋体"/>
          <w:b/>
          <w:bCs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zCs w:val="21"/>
        </w:rPr>
        <w:t>附录：必读书目（含经典著作、专业文献和专业学术期刊）另列</w:t>
      </w:r>
    </w:p>
    <w:p w:rsidR="00C26F9B" w:rsidRDefault="00C26F9B" w:rsidP="00C26F9B">
      <w:pPr>
        <w:spacing w:line="520" w:lineRule="exact"/>
        <w:ind w:firstLineChars="200" w:firstLine="422"/>
        <w:rPr>
          <w:rFonts w:ascii="宋体" w:hAnsi="宋体" w:cs="宋体"/>
          <w:b/>
          <w:bCs/>
          <w:color w:val="000000" w:themeColor="text1"/>
          <w:szCs w:val="21"/>
        </w:rPr>
      </w:pPr>
    </w:p>
    <w:p w:rsidR="00757FDB" w:rsidRPr="00C26F9B" w:rsidRDefault="00757FDB"/>
    <w:sectPr w:rsidR="00757FDB" w:rsidRPr="00C26F9B" w:rsidSect="0075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5919"/>
    <w:multiLevelType w:val="singleLevel"/>
    <w:tmpl w:val="17AB591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AB8138"/>
    <w:multiLevelType w:val="singleLevel"/>
    <w:tmpl w:val="48AB8138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662EF9"/>
    <w:multiLevelType w:val="singleLevel"/>
    <w:tmpl w:val="55662EF9"/>
    <w:lvl w:ilvl="0">
      <w:start w:val="1"/>
      <w:numFmt w:val="none"/>
      <w:suff w:val="nothing"/>
      <w:lvlText w:val="一、"/>
      <w:lvlJc w:val="left"/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F9B"/>
    <w:rsid w:val="007418C9"/>
    <w:rsid w:val="00757FDB"/>
    <w:rsid w:val="00C2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9B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548</Words>
  <Characters>3125</Characters>
  <Application>Microsoft Office Word</Application>
  <DocSecurity>0</DocSecurity>
  <Lines>26</Lines>
  <Paragraphs>7</Paragraphs>
  <ScaleCrop>false</ScaleCrop>
  <Company>微软中国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2021-09-04T01:26:00Z</dcterms:created>
  <dcterms:modified xsi:type="dcterms:W3CDTF">2021-09-04T01:27:00Z</dcterms:modified>
</cp:coreProperties>
</file>