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财务管理专业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年版人才培养方案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本专业培养适应现代市场经济需要，具备人文精神、科学素养和诚信品质，具备经济、管理、法律和财务管理等方面的知识和能力，能在营利性和非营利性机构从事财务管理方面工作的应用型、复合型人才。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firstLine="480"/>
        <w:spacing w:after="0" w:line="38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）掌握经济学、管理学的基本理论和基本知识；（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）掌握财务管理基本理论、基本方法和基本技能；（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）熟悉国内外与财务管理有关的政策、法规与惯例。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）具有较强的语言与文字表达、人际沟通、信息获取能力及分析和解决财务管理问题的基本能力；（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）了解本学科的理论前沿和发展动态；（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）掌握文献检索、资料查询的基本方法，具有一定的科学研究和实际工作的能力。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）具有良好的表达能力与沟通能力，扎实的专业技术能力和良好的分析问题、解决问题的能力。</w:t>
      </w:r>
    </w:p>
    <w:p>
      <w:pPr>
        <w:spacing w:after="0" w:line="133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宏观经济学、微观经济学、金融学、管理学、会计学基础、中级财务会计、财务管理基础理论与实务、财务管理专题理论与实务、成本会计、管理会计、资本市场运作、税收筹划、企业财务分析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学分，通识选修课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学分、专业必修课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53</w:t>
      </w:r>
      <w:r>
        <w:rPr>
          <w:rFonts w:ascii="宋体" w:cs="宋体" w:eastAsia="宋体" w:hAnsi="宋体"/>
          <w:sz w:val="24"/>
          <w:szCs w:val="24"/>
          <w:color w:val="auto"/>
        </w:rPr>
        <w:t>学分、专业限选课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11 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学分；同时，学生还须获得素质拓展课外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学分。按照教育厅规定，港澳台生不需修读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52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财务管理专业表一：毕业学分要求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39.0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53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ind w:left="15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会计学院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财务管理专业人才培养方案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left="8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gridSpan w:val="2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left="8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10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647319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.8pt" to="523.55pt,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784860</wp:posOffset>
                </wp:positionV>
                <wp:extent cx="62941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61.8pt" to="523.55pt,6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1198245</wp:posOffset>
                </wp:positionV>
                <wp:extent cx="647319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94.35pt" to="523.55pt,94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77.3499pt" to="-0.0499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-177.3499pt" to="14.1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-177.3499pt" to="28.15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-177.3499pt" to="42.3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-177.3499pt" to="523.3pt,549.5pt" o:allowincell="f" strokecolor="#000000" strokeweight="0.48pt"/>
            </w:pict>
          </mc:Fallback>
        </mc:AlternateConten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2017</w:t>
      </w:r>
      <w:r>
        <w:rPr>
          <w:rFonts w:ascii="宋体" w:cs="宋体" w:eastAsia="宋体" w:hAnsi="宋体"/>
          <w:sz w:val="17"/>
          <w:szCs w:val="17"/>
          <w:color w:val="auto"/>
        </w:rPr>
        <w:t>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ind w:righ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16047903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ind w:righ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54</w:t>
      </w: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  <w:type w:val="continuous"/>
        </w:sectPr>
      </w:pPr>
    </w:p>
    <w:bookmarkStart w:id="3" w:name="page4"/>
    <w:bookmarkEnd w:id="3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16314201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16013004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中级财务会计学（下）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成本会计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16089604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财务管理基础理论与实务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财务管理专题理论与实务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企业财务分析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16133503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资本市场运作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16104002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财务管理专业综合实验课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16164401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企业财务通则及案例专题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商业银行经营管理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商业银行经营管理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16026002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投资基金管理与运作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16026002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投资基金管理与运作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内部控制与风险管理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运营管理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证券投资学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16019303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西方会计（英）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16089703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公司战略与风险管理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西方会计（英）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16160103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金融计量学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16122003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16171402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跨国公司财务（英）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16031102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综合理财规划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55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4" w:name="page5"/>
    <w:bookmarkEnd w:id="4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16104202</w:t>
            </w:r>
          </w:p>
        </w:tc>
        <w:tc>
          <w:tcPr>
            <w:tcW w:w="3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价值工程与价值链管理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16104102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行为金融学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16171402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跨国公司财务（英）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16087403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、通识选修课修读要求为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学分，学生至少修读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个模块。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0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、辅修专业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7380" w:type="dxa"/>
            <w:vAlign w:val="bottom"/>
            <w:tcBorders>
              <w:left w:val="single" w:sz="8" w:color="auto"/>
            </w:tcBorders>
            <w:gridSpan w:val="9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）辅修专业须跨学科门类修读，从第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学期始，学生可以选择修读辅修课程。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）注明辅修的课程学分须为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学分。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7380" w:type="dxa"/>
            <w:vAlign w:val="bottom"/>
            <w:tcBorders>
              <w:left w:val="single" w:sz="8" w:color="auto"/>
            </w:tcBorders>
            <w:gridSpan w:val="9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跨学科、跨专业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模块中的课程与辅修课程中完全相同的，可以等效共用。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0480" w:type="dxa"/>
            <w:vAlign w:val="bottom"/>
            <w:tcBorders>
              <w:left w:val="single" w:sz="8" w:color="auto"/>
              <w:right w:val="single" w:sz="8" w:color="auto"/>
            </w:tcBorders>
            <w:gridSpan w:val="16"/>
          </w:tcPr>
          <w:p>
            <w:pPr>
              <w:ind w:left="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≦获得学分﹤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且达到颁发辅修专业毕业证书条件者，颁发辅修专业毕业证书；获得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学分且达到授予辅修专业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学士学位条件者，授予辅修专业学士学位。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gridSpan w:val="4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专业负责人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周茜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6"/>
          </w:tcPr>
          <w:p>
            <w:pPr>
              <w:ind w:left="22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单位领导签字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庄学敏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56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5" w:name="page6"/>
    <w:bookmarkEnd w:id="5"/>
    <w:p>
      <w:pPr>
        <w:jc w:val="center"/>
        <w:ind w:left="260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会计学（国际会计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ACCA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实验区培养适应现代市场经济需要，具备人文精神、科学素养和诚信品质，具备国际视野和意识，具备经济、管理、法律和会计学等方面的知识和能力，能够在国际注册会计师行业从事审计工作，或者在营利性和非营利性机构从事会计实务工作的复合型、应用型专门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20" w:firstLine="480"/>
        <w:spacing w:after="0" w:line="38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）掌握经济学、管理学和会计学的基本理论、基本方法和基本技能；（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）掌握会计学的定性和定量分析方法；（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）熟悉国内外与会计相关的方针、政策和法规以及国际会计惯例；（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）了解本学科的理论前沿和发展动态。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）具有较强的语言与文字表达、人际沟通、信息获取能力；（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）精通国际会计惯例，具备能够熟练运用专业知识分析和解决会计问题的基本能力；（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）掌握文献检索、资料查询的基本方法，具有一定的科学研究能力、自学能力及实际工作能力。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）具有良好的表达与沟通能力，扎实的专业技术能力和良好的分析和解决问题能力。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60" w:firstLine="480"/>
        <w:spacing w:after="0" w:line="3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管理学、统计学、经济法（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CPA</w:t>
      </w:r>
      <w:r>
        <w:rPr>
          <w:rFonts w:ascii="宋体" w:cs="宋体" w:eastAsia="宋体" w:hAnsi="宋体"/>
          <w:sz w:val="24"/>
          <w:szCs w:val="24"/>
          <w:color w:val="auto"/>
        </w:rPr>
        <w:t>）、会计师与企业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(F1)</w:t>
      </w:r>
      <w:r>
        <w:rPr>
          <w:rFonts w:ascii="宋体" w:cs="宋体" w:eastAsia="宋体" w:hAnsi="宋体"/>
          <w:sz w:val="24"/>
          <w:szCs w:val="24"/>
          <w:color w:val="auto"/>
        </w:rPr>
        <w:t>、管理会计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(F2)</w:t>
      </w:r>
      <w:r>
        <w:rPr>
          <w:rFonts w:ascii="宋体" w:cs="宋体" w:eastAsia="宋体" w:hAnsi="宋体"/>
          <w:sz w:val="24"/>
          <w:szCs w:val="24"/>
          <w:color w:val="auto"/>
        </w:rPr>
        <w:t>、财务会计（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F3</w:t>
      </w:r>
      <w:r>
        <w:rPr>
          <w:rFonts w:ascii="宋体" w:cs="宋体" w:eastAsia="宋体" w:hAnsi="宋体"/>
          <w:sz w:val="24"/>
          <w:szCs w:val="24"/>
          <w:color w:val="auto"/>
        </w:rPr>
        <w:t>）、公司法与商法（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F4</w:t>
      </w:r>
      <w:r>
        <w:rPr>
          <w:rFonts w:ascii="宋体" w:cs="宋体" w:eastAsia="宋体" w:hAnsi="宋体"/>
          <w:sz w:val="24"/>
          <w:szCs w:val="24"/>
          <w:color w:val="auto"/>
        </w:rPr>
        <w:t>）、绩效管理（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F5</w:t>
      </w:r>
      <w:r>
        <w:rPr>
          <w:rFonts w:ascii="宋体" w:cs="宋体" w:eastAsia="宋体" w:hAnsi="宋体"/>
          <w:sz w:val="24"/>
          <w:szCs w:val="24"/>
          <w:color w:val="auto"/>
        </w:rPr>
        <w:t>）、税务（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F6</w:t>
      </w:r>
      <w:r>
        <w:rPr>
          <w:rFonts w:ascii="宋体" w:cs="宋体" w:eastAsia="宋体" w:hAnsi="宋体"/>
          <w:sz w:val="24"/>
          <w:szCs w:val="24"/>
          <w:color w:val="auto"/>
        </w:rPr>
        <w:t>）、财务报告（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F7</w:t>
      </w:r>
      <w:r>
        <w:rPr>
          <w:rFonts w:ascii="宋体" w:cs="宋体" w:eastAsia="宋体" w:hAnsi="宋体"/>
          <w:sz w:val="24"/>
          <w:szCs w:val="24"/>
          <w:color w:val="auto"/>
        </w:rPr>
        <w:t>）、审计与认证业务（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F8</w:t>
      </w:r>
      <w:r>
        <w:rPr>
          <w:rFonts w:ascii="宋体" w:cs="宋体" w:eastAsia="宋体" w:hAnsi="宋体"/>
          <w:sz w:val="24"/>
          <w:szCs w:val="24"/>
          <w:color w:val="auto"/>
        </w:rPr>
        <w:t>）、财管管理（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F9</w:t>
      </w:r>
      <w:r>
        <w:rPr>
          <w:rFonts w:ascii="宋体" w:cs="宋体" w:eastAsia="宋体" w:hAnsi="宋体"/>
          <w:sz w:val="24"/>
          <w:szCs w:val="24"/>
          <w:color w:val="auto"/>
        </w:rPr>
        <w:t>）、会计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(CPA)</w:t>
      </w:r>
      <w:r>
        <w:rPr>
          <w:rFonts w:ascii="宋体" w:cs="宋体" w:eastAsia="宋体" w:hAnsi="宋体"/>
          <w:sz w:val="24"/>
          <w:szCs w:val="24"/>
          <w:color w:val="auto"/>
        </w:rPr>
        <w:t>、审计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(CPA)</w:t>
      </w:r>
      <w:r>
        <w:rPr>
          <w:rFonts w:ascii="宋体" w:cs="宋体" w:eastAsia="宋体" w:hAnsi="宋体"/>
          <w:sz w:val="24"/>
          <w:szCs w:val="24"/>
          <w:color w:val="auto"/>
        </w:rPr>
        <w:t>等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right="140" w:firstLine="48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160</w:t>
      </w:r>
      <w:r>
        <w:rPr>
          <w:rFonts w:ascii="宋体" w:cs="宋体" w:eastAsia="宋体" w:hAnsi="宋体"/>
          <w:sz w:val="23"/>
          <w:szCs w:val="23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46</w:t>
      </w:r>
      <w:r>
        <w:rPr>
          <w:rFonts w:ascii="宋体" w:cs="宋体" w:eastAsia="宋体" w:hAnsi="宋体"/>
          <w:sz w:val="23"/>
          <w:szCs w:val="23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15</w:t>
      </w:r>
      <w:r>
        <w:rPr>
          <w:rFonts w:ascii="宋体" w:cs="宋体" w:eastAsia="宋体" w:hAnsi="宋体"/>
          <w:sz w:val="23"/>
          <w:szCs w:val="23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27</w:t>
      </w:r>
      <w:r>
        <w:rPr>
          <w:rFonts w:ascii="宋体" w:cs="宋体" w:eastAsia="宋体" w:hAnsi="宋体"/>
          <w:sz w:val="23"/>
          <w:szCs w:val="23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58</w:t>
      </w:r>
      <w:r>
        <w:rPr>
          <w:rFonts w:ascii="宋体" w:cs="宋体" w:eastAsia="宋体" w:hAnsi="宋体"/>
          <w:sz w:val="23"/>
          <w:szCs w:val="23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14</w:t>
      </w:r>
      <w:r>
        <w:rPr>
          <w:rFonts w:ascii="宋体" w:cs="宋体" w:eastAsia="宋体" w:hAnsi="宋体"/>
          <w:sz w:val="23"/>
          <w:szCs w:val="23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10 </w:t>
      </w:r>
      <w:r>
        <w:rPr>
          <w:rFonts w:ascii="宋体" w:cs="宋体" w:eastAsia="宋体" w:hAnsi="宋体"/>
          <w:sz w:val="23"/>
          <w:szCs w:val="23"/>
          <w:color w:val="auto"/>
        </w:rPr>
        <w:t>个素质拓展课外学分。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57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6" w:name="page7"/>
    <w:bookmarkEnd w:id="6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国际会计（</w:t>
      </w:r>
      <w:r>
        <w:rPr>
          <w:rFonts w:ascii="黑体" w:cs="黑体" w:eastAsia="黑体" w:hAnsi="黑体"/>
          <w:sz w:val="24"/>
          <w:szCs w:val="24"/>
          <w:b w:val="1"/>
          <w:bCs w:val="1"/>
          <w:color w:val="auto"/>
        </w:rPr>
        <w:t>ACCA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）创新实验区专业表一：毕业学分要求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27.0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58.0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</w:tcBorders>
            <w:gridSpan w:val="14"/>
          </w:tcPr>
          <w:p>
            <w:pPr>
              <w:jc w:val="center"/>
              <w:ind w:left="2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58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7" w:name="page8"/>
    <w:bookmarkEnd w:id="7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16226802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英语读写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16086402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英语听力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16239402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英语口语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16231102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英语读写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学术英语（管理类）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16068104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16185304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16173203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16140803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6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59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8" w:name="page9"/>
    <w:bookmarkEnd w:id="8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16029903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经济学原理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16317701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ACCA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）创新实验区专业导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(F2)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会计师与企业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(F1)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绩效管理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(F5)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16150603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(F3)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16129904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税务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(F6)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16134904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财务报告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(F7)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16157103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公司法与商法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(F4)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）Ⅱ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16174803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16014703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(F9)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16086904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审计与认证业务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(F8)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商务分析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(P3)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专业会计师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(P1)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16054303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公司报告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(P2)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高级业绩管理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(P5)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16004803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(P4)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17003204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gridSpan w:val="4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专业负责人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郭剑花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7"/>
          </w:tcPr>
          <w:p>
            <w:pPr>
              <w:jc w:val="right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单位领导签字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庄学敏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60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9" w:name="page10"/>
    <w:bookmarkEnd w:id="9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本专业培养适应现代市场经济需要，具备人文精神、科学素养和诚信品质，具备经济、管理、法律和会计学等方面的知识和能力，能在营利性和非营利性机构从事会计方面工作的应用型、复合型专业人才。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8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）掌握经济学、管理学和会计学的基本理论、基本方法和基本技能；（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）掌握会计学的定性和定量分析方法；（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）熟悉国内外与会计相关的方针、政策和法规以及国际会计惯例。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）具有较强的语言与文字表达、人际沟通、信息获取能力及分析和解决会计问题的基本能力；（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）了解本学科的理论前沿和发展动态；（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）掌握文献检索、资料查询的基本方法，具有一定的科学研究和实际工作能力。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）具有良好的表达与沟通能力，扎实的专业技术能力和良好的分析问题、解决问题的能力。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firstLine="480"/>
        <w:spacing w:after="0" w:line="3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经济法、管理学、会计学基础、中级财务会计学、财务管理、会计信息系统、审计学、成本会计、管理会计、金融会计、高级财务会计学、会计学专业综合实验课、税法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51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61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0" w:name="page11"/>
    <w:bookmarkEnd w:id="10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会计学专业表一：毕业学分要求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51.0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17版通识选修课程设置一览表》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62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1" w:name="page12"/>
    <w:bookmarkEnd w:id="1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ind w:left="16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会计学院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会计学专业人才培养方案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2580" w:type="dxa"/>
            <w:vAlign w:val="bottom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gridSpan w:val="2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2580" w:type="dxa"/>
            <w:vAlign w:val="bottom"/>
            <w:vMerge w:val="restart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11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647319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.8pt" to="523.55pt,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784860</wp:posOffset>
                </wp:positionV>
                <wp:extent cx="629412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61.8pt" to="523.55pt,6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1198245</wp:posOffset>
                </wp:positionV>
                <wp:extent cx="647319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94.35pt" to="523.55pt,94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77.3499pt" to="-0.0499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-177.3499pt" to="14.1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-177.3499pt" to="28.15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-177.3499pt" to="42.3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-177.3499pt" to="523.3pt,549.5pt" o:allowincell="f" strokecolor="#000000" strokeweight="0.48pt"/>
            </w:pict>
          </mc:Fallback>
        </mc:AlternateConten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2017</w:t>
      </w:r>
      <w:r>
        <w:rPr>
          <w:rFonts w:ascii="宋体" w:cs="宋体" w:eastAsia="宋体" w:hAnsi="宋体"/>
          <w:sz w:val="17"/>
          <w:szCs w:val="17"/>
          <w:color w:val="auto"/>
        </w:rPr>
        <w:t>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80" w:type="dxa"/>
            <w:vAlign w:val="bottom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63</w:t>
      </w: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  <w:type w:val="continuous"/>
        </w:sectPr>
      </w:pPr>
    </w:p>
    <w:bookmarkStart w:id="12" w:name="page13"/>
    <w:bookmarkEnd w:id="12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9592310</wp:posOffset>
                </wp:positionV>
                <wp:extent cx="665226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55.3pt" to="523.55pt,755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37196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55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37196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55.5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16312501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16119604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16071503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16013004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中级财务会计学（下）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16155402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会计学专业综合实验课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16144201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会计职业道德与财经法规案例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16122003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16229302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会计专业英语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16176503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内部审计理论与实务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16066803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成本会计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16133503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资本市场运作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证券投资学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16001802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公司战略与风险管理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16127902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企业财务分析（英）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64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3" w:name="page14"/>
    <w:bookmarkEnd w:id="13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1451610</wp:posOffset>
                </wp:positionV>
                <wp:extent cx="665226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14.3pt" to="523.55pt,114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123126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3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114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12312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3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114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firstLine="3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30</w:t>
      </w:r>
      <w:r>
        <w:rPr>
          <w:rFonts w:ascii="宋体" w:cs="宋体" w:eastAsia="宋体" w:hAnsi="宋体"/>
          <w:sz w:val="20"/>
          <w:szCs w:val="20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学分且达到授予辅修专业学士学位条件者，授予辅修专业学士学位。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80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杨志强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65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  <w:type w:val="continuous"/>
        </w:sectPr>
      </w:pPr>
    </w:p>
    <w:bookmarkStart w:id="14" w:name="page15"/>
    <w:bookmarkEnd w:id="14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审计学（内部审计师）专业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及审计等方面的知识和能力，通晓审计、会计准则及相关的经济法规，掌握现代审计理论、方法和手段，能在经济管理领域从事会计、审计和管理咨询工作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）基础知识扎实，具备比较广博的通识性知识体系；（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）按照国际注册内部审计师（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CIA</w:t>
      </w:r>
      <w:r>
        <w:rPr>
          <w:rFonts w:ascii="宋体" w:cs="宋体" w:eastAsia="宋体" w:hAnsi="宋体"/>
          <w:sz w:val="24"/>
          <w:szCs w:val="24"/>
          <w:color w:val="auto"/>
        </w:rPr>
        <w:t>）资格考试基本要求开设相关课程，形成具备专业性、全面性及先进性兼备的课程体系；（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）拓宽学生的视野，形成审计、会计、外语、计算机等系统知识结构。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）具备比较坚实的经济、管理与法律基础，掌握本专业基本知识和基本业务技能，能够熟练运用相关知识处理审计业务；（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）熟悉国家有关法规与政策，以及国际会计与审计惯例；（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）掌握经济管理信息搜集、资料查询等专业性信息处理方法，具备较强的实际工作能力、科学研究与创新能力；（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）具备一定的计算机应用能力，熟悉常用的经营管理、会计审计等专业软件，能够运用现代信息技术处理相关业务；（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）具备较强的外语运用能力；（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）具备较强的自学与知识更新能力。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）具有良好的表达与沟通能力，扎实的专业技术能力和良好的分析问题和解决问题的能力。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3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会计学基础、经济法（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CPA)</w:t>
      </w:r>
      <w:r>
        <w:rPr>
          <w:rFonts w:ascii="宋体" w:cs="宋体" w:eastAsia="宋体" w:hAnsi="宋体"/>
          <w:sz w:val="23"/>
          <w:szCs w:val="23"/>
          <w:color w:val="auto"/>
        </w:rPr>
        <w:t>、税法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、财务管理、审计学基础、公司战略与风险管理（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CPA)</w:t>
      </w:r>
      <w:r>
        <w:rPr>
          <w:rFonts w:ascii="宋体" w:cs="宋体" w:eastAsia="宋体" w:hAnsi="宋体"/>
          <w:sz w:val="23"/>
          <w:szCs w:val="23"/>
          <w:color w:val="auto"/>
        </w:rPr>
        <w:t>、财务审计、内部审计理论与实务、信息系统控制与审计、内部控制、计算机审计、公司治理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161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53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66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5" w:name="page16"/>
    <w:bookmarkEnd w:id="15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审计学（内部审计师）专业表一：毕业学分要求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67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6" w:name="page17"/>
    <w:bookmarkEnd w:id="16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2499360</wp:posOffset>
                </wp:positionV>
                <wp:extent cx="647319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96.8pt" to="523.55pt,19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3261360</wp:posOffset>
                </wp:positionV>
                <wp:extent cx="629412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256.8pt" to="523.55pt,25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3674745</wp:posOffset>
                </wp:positionV>
                <wp:extent cx="647319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289.35pt" to="523.55pt,289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17.6pt" to="14.1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17.6pt" to="28.15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17.6pt" to="42.3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4.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2017</w:t>
      </w:r>
      <w:r>
        <w:rPr>
          <w:rFonts w:ascii="宋体" w:cs="宋体" w:eastAsia="宋体" w:hAnsi="宋体"/>
          <w:sz w:val="17"/>
          <w:szCs w:val="17"/>
          <w:color w:val="auto"/>
        </w:rPr>
        <w:t>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80" w:type="dxa"/>
            <w:vAlign w:val="bottom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17版通识选修课程设置一览表》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68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7" w:name="page18"/>
    <w:bookmarkEnd w:id="17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9598660</wp:posOffset>
                </wp:positionV>
                <wp:extent cx="665226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55.8pt" to="523.55pt,755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37768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5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37768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56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16316801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16106405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16156802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监督学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16157823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2.5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16080004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16228801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公司法律责任案例专题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16158302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公司治理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信息系统控制与审计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16024902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商业伦理与审计职业道德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备注：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0"/>
        <w:spacing w:after="0" w:line="23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（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</w:t>
      </w:r>
      <w:r>
        <w:rPr>
          <w:rFonts w:ascii="宋体" w:cs="宋体" w:eastAsia="宋体" w:hAnsi="宋体"/>
          <w:sz w:val="19"/>
          <w:szCs w:val="19"/>
          <w:color w:val="auto"/>
        </w:rPr>
        <w:t>）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30</w:t>
      </w:r>
      <w:r>
        <w:rPr>
          <w:rFonts w:ascii="宋体" w:cs="宋体" w:eastAsia="宋体" w:hAnsi="宋体"/>
          <w:sz w:val="19"/>
          <w:szCs w:val="19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46</w:t>
      </w:r>
      <w:r>
        <w:rPr>
          <w:rFonts w:ascii="宋体" w:cs="宋体" w:eastAsia="宋体" w:hAnsi="宋体"/>
          <w:sz w:val="19"/>
          <w:szCs w:val="19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46</w:t>
      </w:r>
      <w:r>
        <w:rPr>
          <w:rFonts w:ascii="宋体" w:cs="宋体" w:eastAsia="宋体" w:hAnsi="宋体"/>
          <w:sz w:val="19"/>
          <w:szCs w:val="19"/>
          <w:color w:val="auto"/>
        </w:rPr>
        <w:t>学分且达到授予辅修专业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69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8" w:name="page19"/>
    <w:bookmarkEnd w:id="18"/>
    <w:p>
      <w:pPr>
        <w:jc w:val="center"/>
        <w:ind w:left="258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638810</wp:posOffset>
                </wp:positionV>
                <wp:extent cx="665226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50.3pt" to="523.55pt,50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41846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8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50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4184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8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50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学士学位条件者，授予辅修专业学士学位。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况玉书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140"/>
          </w:cols>
          <w:pgMar w:left="720" w:top="780" w:right="10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33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70</w:t>
      </w:r>
    </w:p>
    <w:p>
      <w:pPr>
        <w:sectPr>
          <w:pgSz w:w="11900" w:h="16840" w:orient="portrait"/>
          <w:cols w:equalWidth="0" w:num="1">
            <w:col w:w="10140"/>
          </w:cols>
          <w:pgMar w:left="720" w:top="780" w:right="1044" w:bottom="0" w:gutter="0" w:footer="0" w:header="0"/>
          <w:type w:val="continuous"/>
        </w:sectPr>
      </w:pPr>
    </w:p>
    <w:bookmarkStart w:id="19" w:name="page20"/>
    <w:bookmarkEnd w:id="19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审计学（注册会计师）专业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2017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及审计等方面的知识和能力，通晓审计、会计准则及相关的经济法规，掌握现代审计理论、方法和手段，能在经济管理领域从事会计、审计和管理咨询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）基础知识扎实，具备比较广博的通识性知识体系；（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）按照注册会计师（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CPA</w:t>
      </w:r>
      <w:r>
        <w:rPr>
          <w:rFonts w:ascii="宋体" w:cs="宋体" w:eastAsia="宋体" w:hAnsi="宋体"/>
          <w:sz w:val="24"/>
          <w:szCs w:val="24"/>
          <w:color w:val="auto"/>
        </w:rPr>
        <w:t>）资格考试基本要求开设相关课程，形成具备专业性、全面性及先进性兼备的知识体系；（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）拓宽学生的视野，形成审计、会计、外语、计算机等系统知识结构。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）具备比较坚实的经济、管理与法律基础，掌握本专业基本知识和基本业务技能，能够熟练运用相关知识处理审计业务；（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）熟悉国家有关法规与政策，以及国际会计与审计惯例；（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）掌握经济管理信息搜集、资料查询等专业性信息处理方法，具备较强的实际工作能力、科学研究与创新能力；（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）具备一定的计算机应用能力，熟悉常用的经营管理、会计审计等专业软件，能够运用现代信息技术处理相关业务；（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）具备较强的外语运用能力；（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）具备较强的自学与知识更新能力。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）具有良好的表达与沟通能力，扎实的专业技术能力和良好的分析问题和解决问题的能力。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3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会计学基础、经济法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、会计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、财务成本管理、公司战略与风险管理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、计算机审计、内部控制、会计师事务所管理、信息系统控制与审计、商业伦理与审计职业道德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55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71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20" w:name="page21"/>
    <w:bookmarkEnd w:id="20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审计学（注册会计师）专业表一：毕业学分要求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55.0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34.0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72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1" w:name="page22"/>
    <w:bookmarkEnd w:id="21"/>
    <w:p>
      <w:pPr>
        <w:jc w:val="center"/>
        <w:spacing w:after="0" w:line="183" w:lineRule="exact"/>
        <w:framePr w:w="5591" w:h="6286" w:wrap="auto" w:vAnchor="page" w:hAnchor="page" w:x="3576" w:y="6016"/>
        <w:rPr>
          <w:sz w:val="20"/>
          <w:szCs w:val="20"/>
          <w:color w:val="auto"/>
        </w:rPr>
      </w:pPr>
    </w:p>
    <w:p>
      <w:pPr>
        <w:spacing w:after="0" w:line="-172" w:lineRule="auto"/>
        <w:framePr w:w="5660" w:h="172" w:wrap="auto" w:vAnchor="page" w:hAnchor="page" w:x="3540" w:y="7849"/>
        <w:rPr>
          <w:rFonts w:ascii="宋体" w:cs="宋体" w:eastAsia="宋体" w:hAnsi="宋体"/>
          <w:sz w:val="19"/>
          <w:szCs w:val="19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见《其他专业人才培养方案中开设的学科基础课程和专业课程》</w:t>
      </w:r>
    </w:p>
    <w:p>
      <w:pPr>
        <w:spacing w:after="0" w:line="-179" w:lineRule="auto"/>
        <w:framePr w:w="4680" w:h="178" w:wrap="auto" w:vAnchor="page" w:hAnchor="page" w:x="4040" w:y="9772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2017</w:t>
      </w:r>
      <w:r>
        <w:rPr>
          <w:rFonts w:ascii="宋体" w:cs="宋体" w:eastAsia="宋体" w:hAnsi="宋体"/>
          <w:sz w:val="19"/>
          <w:szCs w:val="19"/>
          <w:color w:val="auto"/>
        </w:rPr>
        <w:t>版通识选修课程设置一览表》</w:t>
      </w:r>
    </w:p>
    <w:p>
      <w:pPr>
        <w:spacing w:after="0" w:line="-179" w:lineRule="auto"/>
        <w:framePr w:w="4680" w:h="178" w:wrap="auto" w:vAnchor="page" w:hAnchor="page" w:x="4040" w:y="11383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2017</w:t>
      </w:r>
      <w:r>
        <w:rPr>
          <w:rFonts w:ascii="宋体" w:cs="宋体" w:eastAsia="宋体" w:hAnsi="宋体"/>
          <w:sz w:val="19"/>
          <w:szCs w:val="19"/>
          <w:color w:val="auto"/>
        </w:rPr>
        <w:t>版通识选修课程设置一览表》</w:t>
      </w:r>
    </w:p>
    <w:p>
      <w:pPr>
        <w:spacing w:after="0" w:line="-179" w:lineRule="auto"/>
        <w:framePr w:w="4597" w:h="6286" w:wrap="auto" w:vAnchor="page" w:hAnchor="page" w:x="4075" w:y="6016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-179" w:lineRule="auto"/>
        <w:framePr w:w="4680" w:h="178" w:wrap="auto" w:vAnchor="page" w:hAnchor="page" w:x="4040" w:y="6393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2017</w:t>
      </w:r>
      <w:r>
        <w:rPr>
          <w:rFonts w:ascii="宋体" w:cs="宋体" w:eastAsia="宋体" w:hAnsi="宋体"/>
          <w:sz w:val="19"/>
          <w:szCs w:val="19"/>
          <w:color w:val="auto"/>
        </w:rPr>
        <w:t>版通识选修课程设置一览表》</w:t>
      </w:r>
    </w:p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2499360</wp:posOffset>
                </wp:positionV>
                <wp:extent cx="647319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96.8pt" to="523.55pt,19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3261360</wp:posOffset>
                </wp:positionV>
                <wp:extent cx="629412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256.8pt" to="523.55pt,25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3674745</wp:posOffset>
                </wp:positionV>
                <wp:extent cx="647319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289.35pt" to="523.55pt,289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5103495</wp:posOffset>
                </wp:positionV>
                <wp:extent cx="647319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401.85pt" to="523.55pt,401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6125210</wp:posOffset>
                </wp:positionV>
                <wp:extent cx="647319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482.3pt" to="523.55pt,482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17.6pt" to="14.1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17.6pt" to="28.15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17.6pt" to="42.3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4.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2017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5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0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8"/>
          <w:szCs w:val="18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II</w:t>
      </w:r>
      <w:r>
        <w:rPr>
          <w:rFonts w:ascii="宋体" w:cs="宋体" w:eastAsia="宋体" w:hAnsi="宋体"/>
          <w:sz w:val="18"/>
          <w:szCs w:val="18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III</w:t>
      </w:r>
      <w:r>
        <w:rPr>
          <w:rFonts w:ascii="宋体" w:cs="宋体" w:eastAsia="宋体" w:hAnsi="宋体"/>
          <w:sz w:val="18"/>
          <w:szCs w:val="18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IV</w:t>
      </w:r>
      <w:r>
        <w:rPr>
          <w:rFonts w:ascii="宋体" w:cs="宋体" w:eastAsia="宋体" w:hAnsi="宋体"/>
          <w:sz w:val="18"/>
          <w:szCs w:val="18"/>
          <w:color w:val="auto"/>
        </w:rPr>
        <w:t>》和《学术英语》。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4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3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通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修</w:t>
      </w:r>
    </w:p>
    <w:p>
      <w:pPr>
        <w:spacing w:after="0" w:line="10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跨</w:t>
      </w:r>
    </w:p>
    <w:p>
      <w:pPr>
        <w:spacing w:after="0" w:line="9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学</w:t>
      </w:r>
    </w:p>
    <w:p>
      <w:pPr>
        <w:ind w:left="40"/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 xml:space="preserve">通 </w:t>
      </w:r>
      <w:r>
        <w:rPr>
          <w:rFonts w:ascii="宋体" w:cs="宋体" w:eastAsia="宋体" w:hAnsi="宋体"/>
          <w:sz w:val="32"/>
          <w:szCs w:val="32"/>
          <w:color w:val="auto"/>
          <w:vertAlign w:val="subscript"/>
        </w:rPr>
        <w:t>科</w:t>
      </w:r>
    </w:p>
    <w:p>
      <w:pPr>
        <w:ind w:left="40"/>
        <w:spacing w:after="0" w:line="160" w:lineRule="exact"/>
        <w:tabs>
          <w:tab w:leader="none" w:pos="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识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8"/>
          <w:szCs w:val="18"/>
          <w:color w:val="auto"/>
        </w:rPr>
        <w:t>选</w:t>
      </w:r>
    </w:p>
    <w:p>
      <w:pPr>
        <w:ind w:left="40"/>
        <w:spacing w:after="0" w:line="32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 xml:space="preserve">课 </w:t>
      </w:r>
      <w:r>
        <w:rPr>
          <w:rFonts w:ascii="宋体" w:cs="宋体" w:eastAsia="宋体" w:hAnsi="宋体"/>
          <w:sz w:val="32"/>
          <w:szCs w:val="32"/>
          <w:color w:val="auto"/>
          <w:vertAlign w:val="superscript"/>
        </w:rPr>
        <w:t>、</w:t>
      </w:r>
      <w:r>
        <w:rPr>
          <w:rFonts w:ascii="宋体" w:cs="宋体" w:eastAsia="宋体" w:hAnsi="宋体"/>
          <w:sz w:val="17"/>
          <w:szCs w:val="17"/>
          <w:color w:val="auto"/>
        </w:rPr>
        <w:t xml:space="preserve"> </w:t>
      </w:r>
      <w:r>
        <w:rPr>
          <w:rFonts w:ascii="宋体" w:cs="宋体" w:eastAsia="宋体" w:hAnsi="宋体"/>
          <w:sz w:val="32"/>
          <w:szCs w:val="32"/>
          <w:color w:val="auto"/>
          <w:vertAlign w:val="subscript"/>
        </w:rPr>
        <w:t>修</w:t>
      </w:r>
    </w:p>
    <w:p>
      <w:pPr>
        <w:ind w:left="32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跨</w:t>
      </w:r>
    </w:p>
    <w:p>
      <w:pPr>
        <w:spacing w:after="0" w:line="9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专</w:t>
      </w:r>
    </w:p>
    <w:p>
      <w:pPr>
        <w:spacing w:after="0" w:line="9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业</w:t>
      </w:r>
    </w:p>
    <w:p>
      <w:pPr>
        <w:spacing w:after="0" w:line="10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法</w:t>
      </w:r>
    </w:p>
    <w:p>
      <w:pPr>
        <w:spacing w:after="0" w:line="5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治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选</w:t>
      </w:r>
    </w:p>
    <w:p>
      <w:pPr>
        <w:ind w:left="32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与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社</w:t>
      </w:r>
    </w:p>
    <w:p>
      <w:pPr>
        <w:spacing w:after="0" w:line="9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</w:t>
      </w:r>
    </w:p>
    <w:p>
      <w:pPr>
        <w:spacing w:after="0" w:line="10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思</w:t>
      </w:r>
    </w:p>
    <w:p>
      <w:pPr>
        <w:spacing w:after="0" w:line="52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维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选</w:t>
      </w:r>
    </w:p>
    <w:p>
      <w:pPr>
        <w:ind w:left="32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与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方</w:t>
      </w:r>
    </w:p>
    <w:p>
      <w:pPr>
        <w:spacing w:after="0" w:line="91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32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法</w:t>
      </w:r>
    </w:p>
    <w:p>
      <w:pPr>
        <w:spacing w:after="0" w:line="94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8"/>
        </w:trPr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16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73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2" w:name="page23"/>
    <w:bookmarkEnd w:id="22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9408160</wp:posOffset>
                </wp:positionV>
                <wp:extent cx="665226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40.8pt" to="523.55pt,740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18718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18718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1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16316801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16046204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会计（上）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16034003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16175504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会计（下）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16156802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监督学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16065603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财务成本管理（下）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16114103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16140103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审计（下）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16231701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注册会计师法律责任案例专题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16158302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公司治理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商业伦理与审计职业道德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信息系统控制与审计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会计师事务所管理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16104302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审计模拟实习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备注：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74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3" w:name="page24"/>
    <w:bookmarkEnd w:id="23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1248410</wp:posOffset>
                </wp:positionV>
                <wp:extent cx="665226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8.3pt" to="523.55pt,98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102806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98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102806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98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firstLine="3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30</w:t>
      </w:r>
      <w:r>
        <w:rPr>
          <w:rFonts w:ascii="宋体" w:cs="宋体" w:eastAsia="宋体" w:hAnsi="宋体"/>
          <w:sz w:val="20"/>
          <w:szCs w:val="20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学分且达到授予辅修专业学士学位条件者，授予辅修专业学士学位。</w: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况玉书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75</w:t>
      </w:r>
    </w:p>
    <w:sectPr>
      <w:pgSz w:w="11900" w:h="16840" w:orient="portrait"/>
      <w:cols w:equalWidth="0" w:num="1">
        <w:col w:w="10460"/>
      </w:cols>
      <w:pgMar w:left="720" w:top="780" w:right="724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2019-12-31T19:38:23Z</dcterms:created>
  <dcterms:modified xsi:type="dcterms:W3CDTF">2019-12-31T19:38:23Z</dcterms:modified>
</cp:coreProperties>
</file>