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06" w:rsidRPr="00025B44" w:rsidRDefault="00487534">
      <w:pPr>
        <w:spacing w:line="4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025B44">
        <w:rPr>
          <w:rFonts w:ascii="黑体" w:eastAsia="黑体" w:hAnsi="黑体" w:cs="黑体" w:hint="eastAsia"/>
          <w:b/>
          <w:bCs/>
          <w:sz w:val="36"/>
          <w:szCs w:val="36"/>
        </w:rPr>
        <w:t>会计1253</w:t>
      </w:r>
    </w:p>
    <w:p w:rsidR="00ED5706" w:rsidRPr="00025B44" w:rsidRDefault="00ED5706">
      <w:pPr>
        <w:spacing w:line="4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一、培养目标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培养具有“国际视野、战略思维和市场意识”，具备优良的政治素质、职业道德、人文素养和外语能力，具有良好发现问题、分析问题与解决问题能力，具有深厚会计、财务、审计专业理论功底和突出组织管理能力的高级专业人才。</w:t>
      </w:r>
    </w:p>
    <w:p w:rsidR="00ED5706" w:rsidRPr="00025B44" w:rsidRDefault="00ED570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二、基本素养与职业能力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（一）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坚持四项基本原则，具有良好的政治素质和职业道德、进取精神和创新意识。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（二）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具有过硬的业务能力，能够熟练运用现代会计、财务、审计及相关领域的专业知识解决实际问题。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（三）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具有从事高层次会计管理工作所必备的国际视野、战略意识和领导潜质，具备良好的组织协调能力。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（四）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熟练掌握和运用一门外国语。</w:t>
      </w:r>
    </w:p>
    <w:p w:rsidR="00ED5706" w:rsidRPr="00025B44" w:rsidRDefault="00ED570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三、研究方向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（一）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资本运营与财务管理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（二）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审计鉴证与管理咨询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（三）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管理会计与风险控制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（四）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大数据会计</w:t>
      </w:r>
    </w:p>
    <w:p w:rsidR="00ED5706" w:rsidRPr="00025B44" w:rsidRDefault="00ED570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四、学习年限</w:t>
      </w:r>
    </w:p>
    <w:p w:rsidR="00ED5706" w:rsidRPr="00025B44" w:rsidRDefault="00487534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学制2年，最长学习年限为4年（含休学），学位论文工作时间不少于8个月。对提前完成规定学业、成绩特别优秀的研究生，按相关规定可申请提前半年毕业。</w:t>
      </w:r>
    </w:p>
    <w:p w:rsidR="00ED5706" w:rsidRPr="00025B44" w:rsidRDefault="00ED570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五、培养方式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根据会计硕士（MPAcc）的培养目标和专业特点，培养方式上突出以下要求：专业教育与协同创新培养相结合、专业教育与职业资格认证相结合、面上招生与订单式培养相结合、课堂讲授与其他教学方式相结合、校内导师与校外导师相结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合、本土化与国际化相结合。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本着将知识转化为能力、培养务实创新精英人才的理念，突出校企（行业）协同育人方式，注重产学结合，构建与企业长期合作的机制，积极引导企业参与培养全过程。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在教学过程中采用案例教学、课堂讨论、专题研究等方式，注重培养学生分析和解决问题的能力。开辟第二课堂，采取专家讲座、专题研讨等形式，选聘实务部门和政策制定部门有经验的专家承担部分课程。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实行双导师制。核心专业课程的授课，在校内老师讲授的基础上，部分专题聘请校外导师做案例讲解；专业实践实习和论文撰写工作，由校内导师和校外导师协同完成。</w:t>
      </w:r>
    </w:p>
    <w:p w:rsidR="00ED5706" w:rsidRPr="00025B44" w:rsidRDefault="00ED570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六、课程设置及要求</w:t>
      </w:r>
    </w:p>
    <w:p w:rsidR="00ED5706" w:rsidRPr="00025B44" w:rsidRDefault="00487534">
      <w:pPr>
        <w:widowControl/>
        <w:spacing w:line="44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研究生课程分学位类和非学位类两种，本专业公共学位课、专业学位课为学位类课程，专业选修课、公共选修课为非学位类课程，18个学时计1学分。</w:t>
      </w:r>
    </w:p>
    <w:p w:rsidR="00ED5706" w:rsidRPr="00025B44" w:rsidRDefault="00ED5706">
      <w:pPr>
        <w:widowControl/>
        <w:spacing w:line="440" w:lineRule="exact"/>
        <w:ind w:firstLineChars="196" w:firstLine="47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七、专业实践要求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（一）实践调研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专业实践环节是必修环节，包括讲座论坛、企业调研、企业实习、仿真实习（ERP）等四个部分，共5个学分。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1.讲座论坛：以讲座、辩论、专题报告等形式，邀请国内外知名专家、学者、政府官员及专业人士开展专题讲座，积极参与会计学院举办的学术论坛。佛山研究生院会计硕士应积极参与“行长进课堂”和“企业家进课堂”活动，参加面向佛山研究生院会计硕士的“知行会计大讲堂”。要求会计专业硕士研究生必须参加8次以上符合要求的论坛或讲座，合格者获得相应学分。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2.企业调研：学生在导师指导下，利用课余或寒暑假时间进行企业调研实习（必须以实地调研为主），鼓励企业调研与毕业论文或实习相结合。学生完成调研后应提交调研报告。佛山研究生院会计硕士应积极参与“走进佛山</w:t>
      </w:r>
      <w:r w:rsidRPr="00025B44"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</w:rPr>
        <w:t xml:space="preserve">· </w:t>
      </w: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深入佛山</w:t>
      </w:r>
      <w:r w:rsidRPr="00025B44"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szCs w:val="24"/>
        </w:rPr>
        <w:t xml:space="preserve">· </w:t>
      </w: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助力佛山”研究生行业调研大赛。全日制学生第三学期提交调研报告，合格者获得相应学分。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lastRenderedPageBreak/>
        <w:t>3.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企业实习：第二学期或者第三学期开始，全日制学生应进入广东财经大学签约实习基地或其他实践场所，进行不少于6个月的实践训练，并撰写不少于3000字的实践报告，合格者获得相应学分。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4.</w:t>
      </w: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仿真实习（ERP）：广州校区学生须参加《虚拟仿真综合决策分析》。利用全国第一批经管类实验教学示范中心---广东财经大学经济与管理实验教学中心的企业运作仿真综合实习，对处于复杂市场环境下的企业经营进行大规模的仿真运作，开发和培养学生从事经济管理的战略思维、综合决策能力和综合执行能力。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（二）案例开发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在学期间必须参与案例研究与开发活动，共2个学分。案例开发可与校内外各项案例比赛及课题申报相结合，鼓励学生开展合作研究。中期考核前应完成不少于8000字以上的案例设计分析作品，鼓励案例设计分析作品与毕业论文相结合，并纳入中期考核环节。</w:t>
      </w:r>
    </w:p>
    <w:p w:rsidR="00ED5706" w:rsidRPr="00025B44" w:rsidRDefault="00ED570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八、其他培养环节</w:t>
      </w:r>
    </w:p>
    <w:p w:rsidR="00ED5706" w:rsidRPr="00025B44" w:rsidRDefault="00487534">
      <w:pPr>
        <w:snapToGrid w:val="0"/>
        <w:spacing w:line="44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其他培养环节包括文献阅读、职业资格训练等培养环节</w:t>
      </w: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。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文献阅读：要求在导师的指导下完成经典文献的阅读，并撰写相应的读书笔记，并由指导教师负责其考核。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职业资格考试：要求学生在读期间能参与一到两项职业资格考试，考试项目包括注册会计师资格考试、会计师资格考试等，并根据所取得的成绩对学生进行考核。</w:t>
      </w:r>
    </w:p>
    <w:p w:rsidR="00ED5706" w:rsidRPr="00025B44" w:rsidRDefault="00487534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素质拓展：在学期间至少参加一次素质拓展活动。通过素质拓展活动，培养学生的团结协作能力、沟通协调能力和顽强拼搏精神。</w:t>
      </w:r>
    </w:p>
    <w:p w:rsidR="00ED5706" w:rsidRPr="00025B44" w:rsidRDefault="00ED5706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九、考核方式及要求</w:t>
      </w:r>
    </w:p>
    <w:p w:rsidR="00ED5706" w:rsidRPr="00025B44" w:rsidRDefault="00487534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课程考核方式分考试和考查两种，具体方式由任课教师确定。经考核合格，学位类课程达到70分以上可获得学分，其他类课程达到60分以上可获得学分。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跨专业及同等学力考取的硕士生应补修 2 门本科主干课程并列入个人培养计划，具体是 《财务会计》《财务管理》，补修方式按学院规定。补修课程采取闭卷考试，达到60分为合格，不记学分，应补修而未补修或者补修成绩不合格者不能进入学位论文撰写阶段。</w:t>
      </w:r>
    </w:p>
    <w:p w:rsidR="00ED5706" w:rsidRPr="00025B44" w:rsidRDefault="00ED570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十、毕业学分及要求</w:t>
      </w:r>
    </w:p>
    <w:p w:rsidR="00ED5706" w:rsidRPr="00025B44" w:rsidRDefault="00487534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毕业要求总学分应修满 </w:t>
      </w:r>
      <w:r w:rsidR="00CB763B"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45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学分，其中课程</w:t>
      </w:r>
      <w:r w:rsidR="00CB763B"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38</w:t>
      </w: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学分（公共选修课应修2学分，其中研究生体育必修），其它培养环节7学分。研究生修满学分，完成必修环节，中期考核合格，完成毕业论文并通过毕业答辩的，方可毕业。</w:t>
      </w:r>
    </w:p>
    <w:p w:rsidR="00ED5706" w:rsidRPr="00025B44" w:rsidRDefault="00ED570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5706" w:rsidRPr="00025B44" w:rsidRDefault="00487534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十一、学位论文及学位授予</w:t>
      </w:r>
    </w:p>
    <w:p w:rsidR="00ED5706" w:rsidRPr="00025B44" w:rsidRDefault="00487534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硕士学位论文工作包括选题、开题报告、中期检查、资格审查、论文初评、重复率检测、盲审、答辩等环节。本学科硕士学位论文字数应不少于3万字，选题应属于本学科范畴，来源于社会实践或工作实际中的现实问题，对实际问题有深刻见解，能提出合理方案、建议或做出有价值的分析报告。</w:t>
      </w:r>
    </w:p>
    <w:p w:rsidR="00ED5706" w:rsidRPr="00025B44" w:rsidRDefault="00487534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本学科硕士学位论文工作进度：根据导师要求按时确定学位论文选题，第二学期完成学位论文开题，开题后3-6个月内参加学位论文中期检查，第三学期完成学位论文初稿，第四学期初提交学位申请，参加资格审核，提交学位论文定稿。学位论文通过重复率检测、盲审等环节后，研究生可申请答辩。研究生在学位论文工作期间应持续修改完善论文。</w:t>
      </w:r>
    </w:p>
    <w:p w:rsidR="00ED5706" w:rsidRPr="00025B44" w:rsidRDefault="00487534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研究生按照培养方案要求，修满课程学分和其它培养环节学分，学位类课程平均成绩不低于75分，中期考核合格，通过学位论文答辩，经校学位评定委员会审议通过后，可授予硕士学位。</w:t>
      </w:r>
    </w:p>
    <w:p w:rsidR="00ED5706" w:rsidRPr="00025B44" w:rsidRDefault="00487534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025B44">
        <w:rPr>
          <w:rFonts w:asciiTheme="minorEastAsia" w:eastAsiaTheme="minorEastAsia" w:hAnsiTheme="minorEastAsia" w:cstheme="minorEastAsia" w:hint="eastAsia"/>
          <w:sz w:val="24"/>
          <w:szCs w:val="24"/>
        </w:rPr>
        <w:t>硕士学位论文的规范性要求、质量要求见《广东财经大学一级学科硕士学位授予标准》、《广东财经大学专业学位授予标准》和《广东财经大学硕士学位论文写作规则》等文件，学位论文与学位授予工作按学校《广东财经大学学位授予规定》、《广东财经大学学术学位硕士论文工作细则》和《广东财经大学专业学位硕士论文工作细则》等相关规定执行。</w:t>
      </w:r>
    </w:p>
    <w:p w:rsidR="00ED5706" w:rsidRPr="00025B44" w:rsidRDefault="00ED5706">
      <w:pPr>
        <w:spacing w:line="420" w:lineRule="exact"/>
        <w:ind w:firstLineChars="196" w:firstLine="470"/>
        <w:rPr>
          <w:rFonts w:ascii="宋体" w:hAnsi="宋体"/>
          <w:sz w:val="24"/>
          <w:szCs w:val="24"/>
        </w:rPr>
      </w:pPr>
    </w:p>
    <w:p w:rsidR="00ED5706" w:rsidRPr="00025B44" w:rsidRDefault="00487534">
      <w:pPr>
        <w:spacing w:line="42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025B44">
        <w:rPr>
          <w:rFonts w:ascii="宋体" w:hAnsi="宋体" w:cs="宋体" w:hint="eastAsia"/>
          <w:b/>
          <w:sz w:val="24"/>
          <w:szCs w:val="24"/>
        </w:rPr>
        <w:t>十二、教学设置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1070"/>
        <w:gridCol w:w="2141"/>
        <w:gridCol w:w="735"/>
        <w:gridCol w:w="684"/>
        <w:gridCol w:w="695"/>
        <w:gridCol w:w="1709"/>
        <w:gridCol w:w="1424"/>
        <w:gridCol w:w="760"/>
      </w:tblGrid>
      <w:tr w:rsidR="00ED5706" w:rsidRPr="00025B44">
        <w:trPr>
          <w:trHeight w:hRule="exact" w:val="624"/>
          <w:jc w:val="center"/>
        </w:trPr>
        <w:tc>
          <w:tcPr>
            <w:tcW w:w="897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课程</w:t>
            </w:r>
          </w:p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编号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开课学期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任课教师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考核方式</w:t>
            </w:r>
          </w:p>
        </w:tc>
      </w:tr>
      <w:tr w:rsidR="00ED5706" w:rsidRPr="00025B44">
        <w:trPr>
          <w:trHeight w:hRule="exact" w:val="624"/>
          <w:tblHeader/>
          <w:jc w:val="center"/>
        </w:trPr>
        <w:tc>
          <w:tcPr>
            <w:tcW w:w="897" w:type="dxa"/>
            <w:vMerge w:val="restart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公共</w:t>
            </w:r>
          </w:p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学位课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Z3203001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专业英语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考试</w:t>
            </w:r>
          </w:p>
        </w:tc>
      </w:tr>
      <w:tr w:rsidR="00ED5706" w:rsidRPr="00025B44">
        <w:trPr>
          <w:trHeight w:hRule="exact" w:val="624"/>
          <w:tblHeader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Z2203001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新时代</w:t>
            </w:r>
            <w:r w:rsidRPr="00025B44">
              <w:rPr>
                <w:rFonts w:ascii="宋体" w:hAnsi="宋体"/>
                <w:szCs w:val="21"/>
              </w:rPr>
              <w:t>中国特色社会主义理论与实践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hint="eastAsia"/>
                <w:szCs w:val="21"/>
              </w:rPr>
              <w:t>考试</w:t>
            </w:r>
          </w:p>
        </w:tc>
      </w:tr>
      <w:tr w:rsidR="00ED5706" w:rsidRPr="00025B44">
        <w:trPr>
          <w:trHeight w:hRule="exact" w:val="624"/>
          <w:tblHeader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Z3203003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管理经济学</w:t>
            </w:r>
          </w:p>
        </w:tc>
        <w:tc>
          <w:tcPr>
            <w:tcW w:w="735" w:type="dxa"/>
            <w:vAlign w:val="center"/>
          </w:tcPr>
          <w:p w:rsidR="00ED5706" w:rsidRPr="00025B44" w:rsidRDefault="00CB76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CB76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严维石赵  卓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王方方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hint="eastAsia"/>
                <w:szCs w:val="21"/>
              </w:rPr>
              <w:t>考试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 w:val="restart"/>
            <w:vAlign w:val="center"/>
          </w:tcPr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lastRenderedPageBreak/>
              <w:t>专业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25B44">
              <w:rPr>
                <w:rFonts w:hint="eastAsia"/>
                <w:b/>
                <w:bCs/>
                <w:szCs w:val="21"/>
              </w:rPr>
              <w:t>学位课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Z3203004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高级财务会计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理论与实务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孔令辉郭剑花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李淑珍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hint="eastAsia"/>
                <w:szCs w:val="21"/>
              </w:rPr>
              <w:t>考试</w:t>
            </w:r>
          </w:p>
        </w:tc>
      </w:tr>
      <w:tr w:rsidR="00ED5706" w:rsidRPr="00025B44">
        <w:trPr>
          <w:trHeight w:hRule="exact" w:val="79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Z3203005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高级财务管理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理论与实务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马崇明张  阳</w:t>
            </w:r>
          </w:p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罗勇根林晨</w:t>
            </w:r>
          </w:p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解文斯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hint="eastAsia"/>
                <w:szCs w:val="21"/>
              </w:rPr>
              <w:t>考试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Z3202001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商业伦理与会计职业道德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陈</w:t>
            </w:r>
            <w:r w:rsidRPr="00025B44">
              <w:rPr>
                <w:rFonts w:hint="eastAsia"/>
                <w:szCs w:val="21"/>
              </w:rPr>
              <w:t xml:space="preserve">  </w:t>
            </w:r>
            <w:r w:rsidRPr="00025B44">
              <w:rPr>
                <w:rFonts w:hint="eastAsia"/>
                <w:szCs w:val="21"/>
              </w:rPr>
              <w:t>菂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hint="eastAsia"/>
                <w:szCs w:val="21"/>
              </w:rPr>
              <w:t>赵国宇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hint="eastAsia"/>
                <w:szCs w:val="21"/>
              </w:rPr>
              <w:t>考试</w:t>
            </w:r>
          </w:p>
        </w:tc>
      </w:tr>
      <w:tr w:rsidR="00ED5706" w:rsidRPr="00025B44">
        <w:trPr>
          <w:trHeight w:hRule="exact" w:val="79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Z3203006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高级管理会计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理论与实务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丁友刚车嘉丽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陈建林陈玉珍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魏铼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hint="eastAsia"/>
                <w:szCs w:val="21"/>
              </w:rPr>
              <w:t>考试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Z3203007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高级审计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理论与实务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刘国常邢风云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曹丽梅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hint="eastAsia"/>
                <w:szCs w:val="21"/>
              </w:rPr>
              <w:t>考试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 w:val="restart"/>
            <w:vAlign w:val="center"/>
          </w:tcPr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选修课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（资本运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营与财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务管理）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Z3202002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智能财务分析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苏武俊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庄学敏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Z3202003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企业税收筹划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孙燕东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欧阳春花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Z3202004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投资学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汤海溶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曾爱军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Z3202005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国际金融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骆祚炎李亚青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杨亭亭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 w:val="restart"/>
            <w:vAlign w:val="center"/>
          </w:tcPr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选修课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（审计鉴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证与管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理咨询）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Z3202002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智能财务分析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苏武俊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庄学敏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Z3202008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内部控制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理论与实务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丁友刚赵兴楣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况玉书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Z3202009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管理审计与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管理咨询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雷  宇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张建平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rPr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Z3202031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信息系统审计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 w:val="restart"/>
            <w:vAlign w:val="center"/>
          </w:tcPr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选修课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（管理会计与风险控制）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Z3202002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智能财务分析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苏武俊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庄学敏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Z3202006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智能风险管理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顾小龙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孙艳阳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Z3202007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szCs w:val="21"/>
              </w:rPr>
              <w:t>会计</w:t>
            </w:r>
            <w:r w:rsidRPr="00025B44">
              <w:rPr>
                <w:rFonts w:hint="eastAsia"/>
                <w:szCs w:val="21"/>
              </w:rPr>
              <w:t>与管理</w:t>
            </w:r>
            <w:r w:rsidRPr="00025B44">
              <w:rPr>
                <w:szCs w:val="21"/>
              </w:rPr>
              <w:t>信息系统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刘良惠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叶文晖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Z3202004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投资学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汤海溶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曾爱军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 w:val="restart"/>
            <w:vAlign w:val="center"/>
          </w:tcPr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  <w:p w:rsidR="00ED5706" w:rsidRPr="00025B44" w:rsidRDefault="00487534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选修课</w:t>
            </w:r>
          </w:p>
          <w:p w:rsidR="00ED5706" w:rsidRPr="00025B44" w:rsidRDefault="00487534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（大数据会计）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Z3202002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智能财务分析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苏武俊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庄学敏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Z3202007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szCs w:val="21"/>
              </w:rPr>
              <w:t>会计</w:t>
            </w:r>
            <w:r w:rsidRPr="00025B44">
              <w:rPr>
                <w:rFonts w:hint="eastAsia"/>
                <w:szCs w:val="21"/>
              </w:rPr>
              <w:t>与管理</w:t>
            </w:r>
            <w:r w:rsidRPr="00025B44">
              <w:rPr>
                <w:szCs w:val="21"/>
              </w:rPr>
              <w:t>信息系统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刘良惠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叶文晖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Z3202030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大数据与财务决策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胡</w:t>
            </w:r>
            <w:r w:rsidRPr="00025B44">
              <w:rPr>
                <w:rFonts w:hint="eastAsia"/>
                <w:szCs w:val="21"/>
              </w:rPr>
              <w:t xml:space="preserve">  </w:t>
            </w:r>
            <w:r w:rsidRPr="00025B44">
              <w:rPr>
                <w:rFonts w:hint="eastAsia"/>
                <w:szCs w:val="21"/>
              </w:rPr>
              <w:t>伊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王</w:t>
            </w:r>
            <w:r w:rsidRPr="00025B44">
              <w:rPr>
                <w:rFonts w:hint="eastAsia"/>
                <w:szCs w:val="21"/>
              </w:rPr>
              <w:t xml:space="preserve">  </w:t>
            </w:r>
            <w:r w:rsidRPr="00025B44">
              <w:rPr>
                <w:rFonts w:hint="eastAsia"/>
                <w:szCs w:val="21"/>
              </w:rPr>
              <w:t>新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rPr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Z3202031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信息系统审计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hint="eastAsia"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 w:val="restart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lastRenderedPageBreak/>
              <w:t>专业选修课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Z3202016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战略管理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杨  菁孙  影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肖永慧崔  婷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Z3202014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跨国公司财务管理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（全英）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周  茜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董  艳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Z3202017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业绩评价与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激励机制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刘红兵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杨志强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Z3202018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企业并购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艾健明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尹  蘅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Z3202019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税务会计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王利娜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李  莉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Z3202020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财会审专题讲座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Z3202012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佛山经济社会发展概况（佛山校区必修）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/>
                <w:szCs w:val="21"/>
              </w:rPr>
              <w:t>Z3202034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管理学专题讲座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Z3202035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学位论文专题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（必修）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Z3202036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Python程序设计</w:t>
            </w:r>
          </w:p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（必修）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 w:val="restart"/>
            <w:vAlign w:val="center"/>
          </w:tcPr>
          <w:p w:rsidR="00ED5706" w:rsidRPr="00025B44" w:rsidRDefault="0048753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cs="宋体" w:hint="eastAsia"/>
                <w:b/>
                <w:kern w:val="0"/>
                <w:szCs w:val="21"/>
              </w:rPr>
              <w:t>公共选修课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Z2204001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马克思主义与社会科学方法论（2选1）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马克思主义学院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Z2204002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自然辩证法概论</w:t>
            </w:r>
          </w:p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（2选1）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马克思主义学院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Z8104003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研究生体育</w:t>
            </w:r>
          </w:p>
        </w:tc>
        <w:tc>
          <w:tcPr>
            <w:tcW w:w="735" w:type="dxa"/>
            <w:vAlign w:val="center"/>
          </w:tcPr>
          <w:p w:rsidR="00ED5706" w:rsidRPr="00025B44" w:rsidRDefault="0048753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体育教学部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 w:val="restart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其它培养环节</w:t>
            </w: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Z3207001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实践调研</w:t>
            </w:r>
          </w:p>
        </w:tc>
        <w:tc>
          <w:tcPr>
            <w:tcW w:w="735" w:type="dxa"/>
            <w:vAlign w:val="center"/>
          </w:tcPr>
          <w:p w:rsidR="00ED5706" w:rsidRPr="00025B44" w:rsidRDefault="00ED570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Z3207007</w:t>
            </w: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案例开发</w:t>
            </w:r>
          </w:p>
        </w:tc>
        <w:tc>
          <w:tcPr>
            <w:tcW w:w="735" w:type="dxa"/>
            <w:vAlign w:val="center"/>
          </w:tcPr>
          <w:p w:rsidR="00ED5706" w:rsidRPr="00025B44" w:rsidRDefault="00ED570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 w:rsidR="00ED5706" w:rsidRPr="00025B44" w:rsidRDefault="004875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B4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1424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760" w:type="dxa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897" w:type="dxa"/>
            <w:vMerge/>
            <w:vAlign w:val="center"/>
          </w:tcPr>
          <w:p w:rsidR="00ED5706" w:rsidRPr="00025B44" w:rsidRDefault="00ED57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ED5706" w:rsidRPr="00025B44" w:rsidRDefault="00ED570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ED5706" w:rsidRPr="00025B44" w:rsidRDefault="00487534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跨专业及同等学力</w:t>
            </w:r>
          </w:p>
          <w:p w:rsidR="00ED5706" w:rsidRPr="00025B44" w:rsidRDefault="00487534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="宋体" w:hAnsi="宋体" w:cs="宋体" w:hint="eastAsia"/>
                <w:bCs/>
                <w:szCs w:val="21"/>
              </w:rPr>
              <w:t>补修课程</w:t>
            </w:r>
          </w:p>
        </w:tc>
        <w:tc>
          <w:tcPr>
            <w:tcW w:w="6007" w:type="dxa"/>
            <w:gridSpan w:val="6"/>
            <w:vAlign w:val="center"/>
          </w:tcPr>
          <w:p w:rsidR="00ED5706" w:rsidRPr="00025B44" w:rsidRDefault="0048753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25B4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《财务会计》《财务管理》</w:t>
            </w:r>
          </w:p>
        </w:tc>
      </w:tr>
      <w:tr w:rsidR="00ED5706" w:rsidRPr="00025B44">
        <w:trPr>
          <w:trHeight w:hRule="exact" w:val="624"/>
          <w:jc w:val="center"/>
        </w:trPr>
        <w:tc>
          <w:tcPr>
            <w:tcW w:w="4108" w:type="dxa"/>
            <w:gridSpan w:val="3"/>
            <w:vAlign w:val="center"/>
          </w:tcPr>
          <w:p w:rsidR="00ED5706" w:rsidRPr="00025B44" w:rsidRDefault="0048753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总学分</w:t>
            </w:r>
          </w:p>
        </w:tc>
        <w:tc>
          <w:tcPr>
            <w:tcW w:w="6007" w:type="dxa"/>
            <w:gridSpan w:val="6"/>
            <w:vAlign w:val="center"/>
          </w:tcPr>
          <w:p w:rsidR="00ED5706" w:rsidRPr="00025B44" w:rsidRDefault="00CB763B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25B44">
              <w:rPr>
                <w:rFonts w:ascii="宋体" w:hAnsi="宋体" w:hint="eastAsia"/>
                <w:b/>
                <w:bCs/>
                <w:szCs w:val="21"/>
              </w:rPr>
              <w:t>45</w:t>
            </w:r>
            <w:r w:rsidR="00487534" w:rsidRPr="00025B44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</w:tr>
    </w:tbl>
    <w:p w:rsidR="00ED5706" w:rsidRPr="00025B44" w:rsidRDefault="00487534">
      <w:pPr>
        <w:spacing w:line="420" w:lineRule="exact"/>
        <w:ind w:firstLineChars="200" w:firstLine="422"/>
        <w:rPr>
          <w:b/>
          <w:bCs/>
          <w:szCs w:val="21"/>
        </w:rPr>
      </w:pPr>
      <w:r w:rsidRPr="00025B44">
        <w:rPr>
          <w:rFonts w:hint="eastAsia"/>
          <w:b/>
          <w:bCs/>
          <w:szCs w:val="21"/>
        </w:rPr>
        <w:t>附录：必读书目（含经典著作、专业文献和专业学术期刊）另列</w:t>
      </w:r>
    </w:p>
    <w:p w:rsidR="00ED5706" w:rsidRPr="00025B44" w:rsidRDefault="00ED5706">
      <w:pPr>
        <w:widowControl/>
        <w:jc w:val="left"/>
        <w:rPr>
          <w:rFonts w:ascii="宋体" w:hAnsi="宋体"/>
          <w:szCs w:val="21"/>
        </w:rPr>
      </w:pPr>
    </w:p>
    <w:p w:rsidR="00ED5706" w:rsidRPr="00025B44" w:rsidRDefault="00ED5706">
      <w:pPr>
        <w:widowControl/>
        <w:jc w:val="left"/>
      </w:pPr>
    </w:p>
    <w:sectPr w:rsidR="00ED5706" w:rsidRPr="00025B44" w:rsidSect="00ED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2801530" w15:done="0"/>
  <w15:commentEx w15:paraId="44CE1CA9" w15:done="0"/>
  <w15:commentEx w15:paraId="7F9451AE" w15:done="0"/>
  <w15:commentEx w15:paraId="31420B0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34" w:rsidRDefault="005A1C34" w:rsidP="00CB763B">
      <w:r>
        <w:separator/>
      </w:r>
    </w:p>
  </w:endnote>
  <w:endnote w:type="continuationSeparator" w:id="1">
    <w:p w:rsidR="005A1C34" w:rsidRDefault="005A1C34" w:rsidP="00CB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34" w:rsidRDefault="005A1C34" w:rsidP="00CB763B">
      <w:r>
        <w:separator/>
      </w:r>
    </w:p>
  </w:footnote>
  <w:footnote w:type="continuationSeparator" w:id="1">
    <w:p w:rsidR="005A1C34" w:rsidRDefault="005A1C34" w:rsidP="00CB763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ryoun">
    <w15:presenceInfo w15:providerId="WPS Office" w15:userId="24183768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F3797F"/>
    <w:rsid w:val="00025B44"/>
    <w:rsid w:val="00083B02"/>
    <w:rsid w:val="000A7BC6"/>
    <w:rsid w:val="000C169D"/>
    <w:rsid w:val="001424AD"/>
    <w:rsid w:val="00227C33"/>
    <w:rsid w:val="00320801"/>
    <w:rsid w:val="00381BD1"/>
    <w:rsid w:val="00487534"/>
    <w:rsid w:val="005A1C34"/>
    <w:rsid w:val="006F165B"/>
    <w:rsid w:val="00770697"/>
    <w:rsid w:val="00C764FB"/>
    <w:rsid w:val="00CA00CE"/>
    <w:rsid w:val="00CB763B"/>
    <w:rsid w:val="00D934B3"/>
    <w:rsid w:val="00E22D49"/>
    <w:rsid w:val="00EC0EB3"/>
    <w:rsid w:val="00ED5706"/>
    <w:rsid w:val="00F17232"/>
    <w:rsid w:val="00FB6F0F"/>
    <w:rsid w:val="03184330"/>
    <w:rsid w:val="03CB6224"/>
    <w:rsid w:val="04156D10"/>
    <w:rsid w:val="06A1456F"/>
    <w:rsid w:val="0C94766D"/>
    <w:rsid w:val="100B6AF2"/>
    <w:rsid w:val="168851DF"/>
    <w:rsid w:val="175559D2"/>
    <w:rsid w:val="17A35F64"/>
    <w:rsid w:val="199A4A8F"/>
    <w:rsid w:val="1C451718"/>
    <w:rsid w:val="20143291"/>
    <w:rsid w:val="24985BAE"/>
    <w:rsid w:val="26E74939"/>
    <w:rsid w:val="2CBB084D"/>
    <w:rsid w:val="2E313A02"/>
    <w:rsid w:val="30C01672"/>
    <w:rsid w:val="328F5B37"/>
    <w:rsid w:val="32A52289"/>
    <w:rsid w:val="34151BAE"/>
    <w:rsid w:val="39CE2501"/>
    <w:rsid w:val="3A272562"/>
    <w:rsid w:val="3C79735A"/>
    <w:rsid w:val="3E397871"/>
    <w:rsid w:val="3F4B2D13"/>
    <w:rsid w:val="481C5DA6"/>
    <w:rsid w:val="4DF8790B"/>
    <w:rsid w:val="4FF3797F"/>
    <w:rsid w:val="545E206D"/>
    <w:rsid w:val="55133CB3"/>
    <w:rsid w:val="56D776E8"/>
    <w:rsid w:val="57E94554"/>
    <w:rsid w:val="58714A15"/>
    <w:rsid w:val="595B7A44"/>
    <w:rsid w:val="5CE870E2"/>
    <w:rsid w:val="5FD577DF"/>
    <w:rsid w:val="60F9491D"/>
    <w:rsid w:val="62FC451C"/>
    <w:rsid w:val="647835F8"/>
    <w:rsid w:val="66553A81"/>
    <w:rsid w:val="695C4209"/>
    <w:rsid w:val="69F50133"/>
    <w:rsid w:val="6E701618"/>
    <w:rsid w:val="73C85BA2"/>
    <w:rsid w:val="7CC8481D"/>
    <w:rsid w:val="7E47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7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D5706"/>
    <w:pPr>
      <w:jc w:val="left"/>
    </w:pPr>
  </w:style>
  <w:style w:type="paragraph" w:styleId="a4">
    <w:name w:val="footer"/>
    <w:basedOn w:val="a"/>
    <w:link w:val="Char"/>
    <w:qFormat/>
    <w:rsid w:val="00ED5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D5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ED5706"/>
    <w:rPr>
      <w:rFonts w:ascii="Tahoma" w:eastAsia="Tahoma" w:hAnsi="Tahoma" w:cs="Tahoma"/>
      <w:b/>
      <w:bCs/>
    </w:rPr>
  </w:style>
  <w:style w:type="character" w:styleId="a7">
    <w:name w:val="FollowedHyperlink"/>
    <w:basedOn w:val="a0"/>
    <w:qFormat/>
    <w:rsid w:val="00ED5706"/>
    <w:rPr>
      <w:rFonts w:ascii="Tahoma" w:eastAsia="Tahoma" w:hAnsi="Tahoma" w:cs="Tahoma" w:hint="default"/>
      <w:color w:val="800080"/>
      <w:sz w:val="18"/>
      <w:szCs w:val="18"/>
      <w:u w:val="single"/>
    </w:rPr>
  </w:style>
  <w:style w:type="character" w:styleId="a8">
    <w:name w:val="Hyperlink"/>
    <w:basedOn w:val="a0"/>
    <w:rsid w:val="00ED5706"/>
    <w:rPr>
      <w:rFonts w:ascii="Tahoma" w:eastAsia="Tahoma" w:hAnsi="Tahoma" w:cs="Tahoma" w:hint="default"/>
      <w:color w:val="0000FF"/>
      <w:sz w:val="18"/>
      <w:szCs w:val="18"/>
      <w:u w:val="single"/>
    </w:rPr>
  </w:style>
  <w:style w:type="character" w:customStyle="1" w:styleId="Char0">
    <w:name w:val="页眉 Char"/>
    <w:basedOn w:val="a0"/>
    <w:link w:val="a5"/>
    <w:qFormat/>
    <w:rsid w:val="00ED570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ED570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bdexpandicon">
    <w:name w:val="bdexpandicon"/>
    <w:basedOn w:val="a0"/>
    <w:rsid w:val="00ED5706"/>
    <w:rPr>
      <w:rFonts w:ascii="Webdings" w:eastAsia="Webdings" w:hAnsi="Webdings" w:cs="Webdings"/>
      <w:sz w:val="20"/>
      <w:szCs w:val="20"/>
    </w:rPr>
  </w:style>
  <w:style w:type="character" w:customStyle="1" w:styleId="bdexpandicon1">
    <w:name w:val="bdexpandicon1"/>
    <w:basedOn w:val="a0"/>
    <w:qFormat/>
    <w:rsid w:val="00ED5706"/>
    <w:rPr>
      <w:color w:val="000000"/>
    </w:rPr>
  </w:style>
  <w:style w:type="character" w:customStyle="1" w:styleId="bdexpandicon2">
    <w:name w:val="bdexpandicon2"/>
    <w:basedOn w:val="a0"/>
    <w:qFormat/>
    <w:rsid w:val="00ED5706"/>
    <w:rPr>
      <w:rFonts w:ascii="Tahoma" w:eastAsia="Tahoma" w:hAnsi="Tahoma" w:cs="Tahoma" w:hint="default"/>
      <w:color w:val="000000"/>
      <w:sz w:val="14"/>
      <w:szCs w:val="14"/>
      <w:bdr w:val="single" w:sz="2" w:space="0" w:color="000000"/>
      <w:shd w:val="clear" w:color="auto" w:fill="FFFFFF"/>
      <w:vertAlign w:val="baseline"/>
    </w:rPr>
  </w:style>
  <w:style w:type="character" w:customStyle="1" w:styleId="eseditbar">
    <w:name w:val="eseditbar"/>
    <w:basedOn w:val="a0"/>
    <w:qFormat/>
    <w:rsid w:val="00ED5706"/>
    <w:rPr>
      <w:color w:val="000000"/>
    </w:rPr>
  </w:style>
  <w:style w:type="character" w:customStyle="1" w:styleId="eseditbar1">
    <w:name w:val="eseditbar1"/>
    <w:basedOn w:val="a0"/>
    <w:qFormat/>
    <w:rsid w:val="00ED5706"/>
    <w:rPr>
      <w:color w:val="000000"/>
      <w:shd w:val="clear" w:color="auto" w:fill="999999"/>
    </w:rPr>
  </w:style>
  <w:style w:type="character" w:styleId="a9">
    <w:name w:val="annotation reference"/>
    <w:basedOn w:val="a0"/>
    <w:rsid w:val="00ED5706"/>
    <w:rPr>
      <w:sz w:val="21"/>
      <w:szCs w:val="21"/>
    </w:rPr>
  </w:style>
  <w:style w:type="paragraph" w:styleId="aa">
    <w:name w:val="Balloon Text"/>
    <w:basedOn w:val="a"/>
    <w:link w:val="Char1"/>
    <w:rsid w:val="00CB763B"/>
    <w:rPr>
      <w:sz w:val="18"/>
      <w:szCs w:val="18"/>
    </w:rPr>
  </w:style>
  <w:style w:type="character" w:customStyle="1" w:styleId="Char1">
    <w:name w:val="批注框文本 Char"/>
    <w:basedOn w:val="a0"/>
    <w:link w:val="aa"/>
    <w:rsid w:val="00CB76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685</Words>
  <Characters>3905</Characters>
  <Application>Microsoft Office Word</Application>
  <DocSecurity>0</DocSecurity>
  <Lines>32</Lines>
  <Paragraphs>9</Paragraphs>
  <ScaleCrop>false</ScaleCrop>
  <Company>微软中国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cjlstar1979</dc:creator>
  <cp:lastModifiedBy>微软用户</cp:lastModifiedBy>
  <cp:revision>2</cp:revision>
  <dcterms:created xsi:type="dcterms:W3CDTF">2021-09-04T01:59:00Z</dcterms:created>
  <dcterms:modified xsi:type="dcterms:W3CDTF">2021-09-04T01:59:00Z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A5976C38378143408A8E999D404EDCB4</vt:lpwstr>
  </property>
</Properties>
</file>