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6C" w:rsidRDefault="00AC4A6C" w:rsidP="00AC4A6C">
      <w:pPr>
        <w:spacing w:line="42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会计1253</w:t>
      </w:r>
    </w:p>
    <w:p w:rsidR="00AC4A6C" w:rsidRDefault="00AC4A6C" w:rsidP="00AC4A6C">
      <w:pPr>
        <w:spacing w:line="42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一、培养目标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培养具有“国际视野、战略思维和市场意识”，具备优良的政治素质、职业道德、人文素养和外语能力，具有良好发现问题、分析问题与解决问题能力，具有深厚会计、财务、审计专业理论功底和突出组织管理能力的高级专业人才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二、基本素养与职业能力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坚持四项基本原则，具有良好的政治素质和职业道德、进取精神和创新意识。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具有过硬的业务能力，能够熟练运用现代会计、财务、审计及相关领域的专业知识解决实际问题。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具有从事高层次会计管理工作所必备的国际视野、战略意识和领导潜质，具备良好的组织协调能力。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熟练掌握和运用一门外国语。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三、研究方向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资本运营与财务管理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审计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鉴证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与管理咨询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管理会计与风险控制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大数据会计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四、学习年限</w:t>
      </w:r>
    </w:p>
    <w:p w:rsidR="00AC4A6C" w:rsidRDefault="00AC4A6C" w:rsidP="00AC4A6C">
      <w:pPr>
        <w:spacing w:line="420" w:lineRule="exact"/>
        <w:ind w:firstLineChars="200" w:firstLine="480"/>
        <w:textAlignment w:val="baseline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学制</w:t>
      </w:r>
      <w:r>
        <w:rPr>
          <w:rFonts w:ascii="宋体" w:hAnsi="宋体" w:cs="宋体"/>
          <w:color w:val="000000" w:themeColor="text1"/>
          <w:sz w:val="24"/>
          <w:szCs w:val="24"/>
        </w:rPr>
        <w:t>2年，最长学习年限4年（含休学和保留学籍）。对提前完成规定学业、成绩特别优秀的研究生，可按《广东财经大学硕士研究生提前毕业暂行规定》申请提前毕业。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五、培养方式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根据会计硕士（</w:t>
      </w:r>
      <w:proofErr w:type="spellStart"/>
      <w:r>
        <w:rPr>
          <w:rFonts w:ascii="宋体" w:hAnsi="宋体" w:cs="宋体" w:hint="eastAsia"/>
          <w:color w:val="000000" w:themeColor="text1"/>
          <w:sz w:val="24"/>
          <w:szCs w:val="24"/>
        </w:rPr>
        <w:t>MPAcc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）的培养目标和专业特点，培养方式上突出以下要求：专业教育与协同创新培养相结合、专业教育与职业资格认证相结合、面上招生与订单式培养相结合、课堂讲授与其他教学方式相结合、校内导师与校外导师相结合、本土化与国际化相结合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本着将知识转化为能力、培养务实创新精英人才的理念，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突出校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企（行业）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协同育人方式，注重产学结合，构建与企业长期合作的机制，积极引导企业参与培养全过程。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在教学过程中采用案例教学、课堂讨论、专题研究等方式，注重培养学生分析和解决问题的能力。开辟第二课堂，采取专家讲座、专题研讨等形式，选聘实务部门和政策制定部门有经验的专家承担部分课程。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实行双导师制。核心专业课程的授课，在校内老师讲授的基础上，部分专题聘请校外导师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做案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例讲解；专业实践实习和论文撰写工作，由校内导师和校外导师协同完成。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六、课程设置及要求</w:t>
      </w:r>
    </w:p>
    <w:p w:rsidR="00AC4A6C" w:rsidRDefault="00AC4A6C" w:rsidP="00AC4A6C">
      <w:pPr>
        <w:widowControl/>
        <w:spacing w:line="420" w:lineRule="exact"/>
        <w:ind w:firstLineChars="196" w:firstLine="47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研究生课程分学位类和非学位类两种，本专业公共学位课、专业学位课为学位类课程，</w:t>
      </w:r>
      <w:r>
        <w:rPr>
          <w:rFonts w:ascii="宋体" w:hAnsi="宋体" w:hint="eastAsia"/>
          <w:color w:val="000000" w:themeColor="text1"/>
          <w:sz w:val="24"/>
        </w:rPr>
        <w:t>专业选修课为非学位类课程，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18个学时计1学分。</w:t>
      </w:r>
    </w:p>
    <w:p w:rsidR="00AC4A6C" w:rsidRDefault="00AC4A6C" w:rsidP="00AC4A6C">
      <w:pPr>
        <w:widowControl/>
        <w:spacing w:line="420" w:lineRule="exact"/>
        <w:ind w:firstLineChars="196" w:firstLine="47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七、专业实践要求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（一）实践调研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专业实践环节是必修环节，包括讲座论坛、企业调研、企业实习等三个部分，共5个学分。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讲座论坛：以讲座、辩论、专题报告等形式，邀请国内外知名专家、学者、政府官员及专业人士开展专题讲座，积极参与会计学院举办的学术论坛。佛山研究生院会计硕士应积极参与“行长进课堂”和“企业家进课堂”活动，参加面向佛山研究生院会计硕士的“知行会计大讲堂”。要求会计专业硕士研究生必须参加8次以上符合要求的论坛或讲座，合格者获得相应学分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.企业调研：学生在导师指导下，利用课余或寒暑假时间进行企业调研实习（必须以实地调研为主），鼓励企业调研与毕业论文或实习相结合。学生完成调研后应提交调研报告。佛山研究生院会计硕士应积极参与“走进佛山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深入佛山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助力佛山”研究生行业调研大赛。全日制学生第三学期提交调研报告，合格者获得相应学分。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企业实习：第二学期或者第三学期开始，全日制学生应进入广东财经大学签约实习基地或其他实践场所，进行不少于6个月的实践训练，并撰写不少于3000字的实践报告，合格者获得相应学分。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（二）案例开发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在学期间必须参与案例研究与开发活动，共2个学分。案例开发可与校内外各项案例比赛及课题申报相结合，鼓励学生开展合作研究。中期考核前应完成不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少于8000字以上的案例设计分析作品，鼓励案例设计分析作品与毕业论文相结合，并纳入中期考核环节。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八、其它培养环节</w:t>
      </w:r>
    </w:p>
    <w:p w:rsidR="00AC4A6C" w:rsidRDefault="00AC4A6C" w:rsidP="00AC4A6C">
      <w:pPr>
        <w:snapToGrid w:val="0"/>
        <w:spacing w:line="420" w:lineRule="exact"/>
        <w:ind w:firstLineChars="196" w:firstLine="47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其它培养环节包括文献阅读、仿真实训、职业资格训练等培养环节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文献阅读：要求在导师的指导下完成经典文献的阅读，并撰写相应的读书笔记，并由指导教师负责其考核。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仿真实习（ERP）：利用全国第一批经管类实验教学示范中心---广东财经大学经济与管理实验教学中心的企业运作仿真综合实习，对处于复杂市场环境下的企业经营进行大规模的仿真运作，开发和培养学生从事经济管理的战略思维、综合决策能力和综合执行能力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职业资格考试：要求学生在读期间能参与一到两项职业资格考试，考试项目包括注册会计师资格考试、会计师资格考试等，并根据所取得的成绩对学生进行考核。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素质拓展：在学期间至少参加一次素质拓展活动。通过素质拓展活动，培养学生的团结协作能力、沟通协调能力和顽强拼搏精神。</w:t>
      </w:r>
    </w:p>
    <w:p w:rsidR="00AC4A6C" w:rsidRDefault="00AC4A6C" w:rsidP="00AC4A6C">
      <w:pPr>
        <w:widowControl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九、考核方式及要求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经考核合格，学位类课程达到70分以上可获得学分，其他类课程达到60分以上可获得学分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跨专业及同等学力考取的硕士生应补修 2 门本科主干课程并列入个人培养计划，具体是 《财务会计》、《财务管理》 ，补修方式按学院规定。补修课程采取闭卷考试，达到60分为合格，不记学分，应补修而未补修或者补修成绩不合格者不能进入学位论文撰写阶段。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十、毕业学分及要求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毕业要求总学分为 43学分，其中课程 36学分，实践调研5学分，案例开发2学分。研究生修满学分，中期考核合格，完成必修环节，完成毕业论文并通过毕业答辩，方可毕业。</w:t>
      </w:r>
    </w:p>
    <w:p w:rsidR="00AC4A6C" w:rsidRDefault="00AC4A6C" w:rsidP="00AC4A6C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lastRenderedPageBreak/>
        <w:t>十一、学位论文及学位授予</w:t>
      </w:r>
    </w:p>
    <w:p w:rsidR="00AC4A6C" w:rsidRDefault="00AC4A6C" w:rsidP="00AC4A6C">
      <w:pPr>
        <w:spacing w:line="420" w:lineRule="exact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硕士学位论文的规范性要求、质量要求见《广东财经大学一级学科硕士学位授予标准》、《广东财经大学专业学位授予标准》和《广东财经大学硕士学位论文写作规范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AC4A6C" w:rsidRDefault="00AC4A6C" w:rsidP="00AC4A6C">
      <w:pPr>
        <w:spacing w:line="420" w:lineRule="exact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</w:p>
    <w:p w:rsidR="00AC4A6C" w:rsidRDefault="00AC4A6C" w:rsidP="00AC4A6C">
      <w:pPr>
        <w:spacing w:line="42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十二、教学设置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1070"/>
        <w:gridCol w:w="1980"/>
        <w:gridCol w:w="738"/>
        <w:gridCol w:w="936"/>
        <w:gridCol w:w="1182"/>
        <w:gridCol w:w="1128"/>
        <w:gridCol w:w="1092"/>
      </w:tblGrid>
      <w:tr w:rsidR="00AC4A6C" w:rsidTr="00DA41EF">
        <w:trPr>
          <w:trHeight w:val="588"/>
          <w:jc w:val="center"/>
        </w:trPr>
        <w:tc>
          <w:tcPr>
            <w:tcW w:w="897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课程</w:t>
            </w:r>
          </w:p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编号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开课学期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任课教师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开课单位</w:t>
            </w:r>
          </w:p>
        </w:tc>
      </w:tr>
      <w:tr w:rsidR="00AC4A6C" w:rsidTr="00DA41EF">
        <w:trPr>
          <w:trHeight w:hRule="exact" w:val="595"/>
          <w:tblHeader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公共</w:t>
            </w:r>
          </w:p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学位课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Z3203001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专业英语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tblHeader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Z2203001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马克思主义学院</w:t>
            </w:r>
          </w:p>
        </w:tc>
      </w:tr>
      <w:tr w:rsidR="00AC4A6C" w:rsidTr="00DA41EF">
        <w:trPr>
          <w:trHeight w:hRule="exact" w:val="770"/>
          <w:tblHeader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Z3203003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管理经济学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严维石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卓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王方方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785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学位课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Z3203004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高级财务会计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孔令辉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郭剑花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李淑珍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7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Z3203005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高级财务管理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马崇明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张  阳</w:t>
            </w:r>
          </w:p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罗勇根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Z3202001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商业伦理与会计职业道德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菂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赵国宇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833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Z3203006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高级管理会计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车嘉丽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陈建林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陈玉珍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814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Z3203007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高级审计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刘国常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邢风云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曹丽梅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（资本运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营与财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管理）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Z3202002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苏武俊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81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Z3202003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企业税收筹划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孙燕东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欧阳春花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Z3202004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投资学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汤海溶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曾爱军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Z3202005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国际金融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苏国强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刚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（审计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鉴</w:t>
            </w:r>
            <w:proofErr w:type="gramEnd"/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证与管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理咨询）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Z3202002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苏武俊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Z3202008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内部控制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赵兴楣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况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玉书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Z3202009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管理审计与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管理咨询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雷  宇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张建平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95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Z3202010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会计师事务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所管理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宾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瑜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黎四龙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（管理会计与风险控制）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Z3202002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苏武俊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Z3202006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风险管理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顾小龙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胡伊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Z3202007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会计</w:t>
            </w:r>
            <w:r>
              <w:rPr>
                <w:rFonts w:hint="eastAsia"/>
                <w:color w:val="000000" w:themeColor="text1"/>
                <w:szCs w:val="21"/>
              </w:rPr>
              <w:t>与管理</w:t>
            </w:r>
            <w:r>
              <w:rPr>
                <w:color w:val="000000" w:themeColor="text1"/>
                <w:szCs w:val="21"/>
              </w:rPr>
              <w:t>信息系统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刘良惠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Z3202004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投资学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汤海溶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曾爱军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AC4A6C" w:rsidRDefault="00AC4A6C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（大数据会计）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Z3202002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苏武俊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Z3202007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会计</w:t>
            </w:r>
            <w:r>
              <w:rPr>
                <w:rFonts w:hint="eastAsia"/>
                <w:color w:val="000000" w:themeColor="text1"/>
                <w:szCs w:val="21"/>
              </w:rPr>
              <w:t>与管理</w:t>
            </w:r>
            <w:r>
              <w:rPr>
                <w:color w:val="000000" w:themeColor="text1"/>
                <w:szCs w:val="21"/>
              </w:rPr>
              <w:t>信息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系统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刘良惠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Z3202030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大数据与财务决策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Z3202031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信息系统审计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Z3202016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战略管理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菁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崔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婷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Z3202014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跨国公司财务管理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（全英）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周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茜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董 艳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Z3202017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业绩评价与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激励机制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刘红兵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杨志强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Z3202018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企业并购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艾健明</w:t>
            </w:r>
            <w:proofErr w:type="gramEnd"/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尹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蘅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Z3202019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税务会计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李丽青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李 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Z3202020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会计专题讲座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施  赟</w:t>
            </w:r>
          </w:p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温  晓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其它培养环节</w:t>
            </w: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Z3207001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实践调研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导师组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Z3207007</w:t>
            </w:r>
          </w:p>
        </w:tc>
        <w:tc>
          <w:tcPr>
            <w:tcW w:w="1980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案例开发</w:t>
            </w:r>
          </w:p>
        </w:tc>
        <w:tc>
          <w:tcPr>
            <w:tcW w:w="73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36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C4A6C" w:rsidRDefault="00AC4A6C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28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导师组</w:t>
            </w:r>
          </w:p>
        </w:tc>
        <w:tc>
          <w:tcPr>
            <w:tcW w:w="1092" w:type="dxa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AC4A6C" w:rsidTr="00DA41EF">
        <w:trPr>
          <w:trHeight w:hRule="exact" w:val="567"/>
          <w:jc w:val="center"/>
        </w:trPr>
        <w:tc>
          <w:tcPr>
            <w:tcW w:w="3947" w:type="dxa"/>
            <w:gridSpan w:val="3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总学分</w:t>
            </w:r>
          </w:p>
        </w:tc>
        <w:tc>
          <w:tcPr>
            <w:tcW w:w="5076" w:type="dxa"/>
            <w:gridSpan w:val="5"/>
            <w:vAlign w:val="center"/>
          </w:tcPr>
          <w:p w:rsidR="00AC4A6C" w:rsidRDefault="00AC4A6C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43学分</w:t>
            </w:r>
          </w:p>
        </w:tc>
      </w:tr>
    </w:tbl>
    <w:p w:rsidR="00AC4A6C" w:rsidRDefault="00AC4A6C" w:rsidP="00AC4A6C">
      <w:pPr>
        <w:spacing w:line="420" w:lineRule="exact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附录：必读书目（含经典著作、专业文献和专业学术期刊）另列</w:t>
      </w:r>
    </w:p>
    <w:p w:rsidR="00AC4A6C" w:rsidRDefault="00AC4A6C" w:rsidP="00AC4A6C">
      <w:pPr>
        <w:widowControl/>
        <w:jc w:val="left"/>
        <w:rPr>
          <w:rFonts w:ascii="宋体" w:hAnsi="宋体"/>
          <w:color w:val="000000" w:themeColor="text1"/>
          <w:szCs w:val="21"/>
        </w:rPr>
      </w:pPr>
    </w:p>
    <w:p w:rsidR="00AC4A6C" w:rsidRDefault="00AC4A6C" w:rsidP="00AC4A6C">
      <w:pPr>
        <w:widowControl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br w:type="page"/>
      </w:r>
    </w:p>
    <w:p w:rsidR="00757FDB" w:rsidRPr="00AC4A6C" w:rsidRDefault="00757FDB"/>
    <w:sectPr w:rsidR="00757FDB" w:rsidRPr="00AC4A6C" w:rsidSect="0075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A6C"/>
    <w:rsid w:val="007418C9"/>
    <w:rsid w:val="00757FDB"/>
    <w:rsid w:val="00AC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6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3215</Characters>
  <Application>Microsoft Office Word</Application>
  <DocSecurity>0</DocSecurity>
  <Lines>26</Lines>
  <Paragraphs>7</Paragraphs>
  <ScaleCrop>false</ScaleCrop>
  <Company>微软中国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2021-09-04T01:27:00Z</dcterms:created>
  <dcterms:modified xsi:type="dcterms:W3CDTF">2021-09-04T01:28:00Z</dcterms:modified>
</cp:coreProperties>
</file>